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Pr>
          <w:rFonts w:ascii="Arial" w:hAnsi="Arial" w:cs="Arial"/>
          <w:sz w:val="20"/>
          <w:szCs w:val="20"/>
        </w:rPr>
        <w:t>29</w:t>
      </w:r>
      <w:r w:rsidRPr="00D509AB">
        <w:rPr>
          <w:rFonts w:ascii="Arial" w:hAnsi="Arial" w:cs="Arial"/>
          <w:sz w:val="20"/>
          <w:szCs w:val="20"/>
        </w:rPr>
        <w:t xml:space="preserve"> publicado el día </w:t>
      </w:r>
      <w:r>
        <w:rPr>
          <w:rFonts w:ascii="Arial" w:hAnsi="Arial" w:cs="Arial"/>
          <w:sz w:val="20"/>
          <w:szCs w:val="20"/>
        </w:rPr>
        <w:t>31 de Diciembre de 2018</w:t>
      </w:r>
      <w:r w:rsidRPr="00D509AB">
        <w:rPr>
          <w:rFonts w:ascii="Arial" w:hAnsi="Arial" w:cs="Arial"/>
          <w:sz w:val="20"/>
          <w:szCs w:val="20"/>
        </w:rPr>
        <w:t xml:space="preserve"> en el Diario Oficial del Estado, se autorizó la cantidad  de $ </w:t>
      </w:r>
      <w:r>
        <w:rPr>
          <w:rFonts w:ascii="Arial" w:hAnsi="Arial" w:cs="Arial"/>
          <w:sz w:val="20"/>
          <w:szCs w:val="20"/>
        </w:rPr>
        <w:t>42´747,550</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Yucatán, durante el ejercicio 201</w:t>
      </w:r>
      <w:r>
        <w:rPr>
          <w:rFonts w:ascii="Arial" w:hAnsi="Arial" w:cs="Arial"/>
          <w:sz w:val="20"/>
          <w:szCs w:val="20"/>
        </w:rPr>
        <w:t>9</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4D0550"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40161605"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 xml:space="preserve">1 </w:t>
      </w:r>
      <w:r w:rsidR="001D4773">
        <w:rPr>
          <w:rFonts w:ascii="Arial" w:hAnsi="Arial" w:cs="Arial"/>
          <w:sz w:val="20"/>
          <w:szCs w:val="20"/>
        </w:rPr>
        <w:t>de Enero al 3</w:t>
      </w:r>
      <w:r w:rsidR="00C540E5">
        <w:rPr>
          <w:rFonts w:ascii="Arial" w:hAnsi="Arial" w:cs="Arial"/>
          <w:sz w:val="20"/>
          <w:szCs w:val="20"/>
        </w:rPr>
        <w:t>1</w:t>
      </w:r>
      <w:r>
        <w:rPr>
          <w:rFonts w:ascii="Arial" w:hAnsi="Arial" w:cs="Arial"/>
          <w:sz w:val="20"/>
          <w:szCs w:val="20"/>
        </w:rPr>
        <w:t xml:space="preserve"> de </w:t>
      </w:r>
      <w:r w:rsidR="00C540E5">
        <w:rPr>
          <w:rFonts w:ascii="Arial" w:hAnsi="Arial" w:cs="Arial"/>
          <w:sz w:val="20"/>
          <w:szCs w:val="20"/>
        </w:rPr>
        <w:t>Dic</w:t>
      </w:r>
      <w:r w:rsidR="00F41668">
        <w:rPr>
          <w:rFonts w:ascii="Arial" w:hAnsi="Arial" w:cs="Arial"/>
          <w:sz w:val="20"/>
          <w:szCs w:val="20"/>
        </w:rPr>
        <w:t>iem</w:t>
      </w:r>
      <w:r w:rsidR="005E6EA9">
        <w:rPr>
          <w:rFonts w:ascii="Arial" w:hAnsi="Arial" w:cs="Arial"/>
          <w:sz w:val="20"/>
          <w:szCs w:val="20"/>
        </w:rPr>
        <w:t>bre</w:t>
      </w:r>
      <w:r>
        <w:rPr>
          <w:rFonts w:ascii="Arial" w:hAnsi="Arial" w:cs="Arial"/>
          <w:sz w:val="20"/>
          <w:szCs w:val="20"/>
        </w:rPr>
        <w:t xml:space="preserve"> </w:t>
      </w:r>
      <w:bookmarkEnd w:id="1"/>
      <w:bookmarkEnd w:id="2"/>
      <w:bookmarkEnd w:id="3"/>
      <w:r w:rsidRPr="00D509AB">
        <w:rPr>
          <w:rFonts w:ascii="Arial" w:hAnsi="Arial" w:cs="Arial"/>
          <w:sz w:val="20"/>
          <w:szCs w:val="20"/>
        </w:rPr>
        <w:t>de 201</w:t>
      </w:r>
      <w:r>
        <w:rPr>
          <w:rFonts w:ascii="Arial" w:hAnsi="Arial" w:cs="Arial"/>
          <w:sz w:val="20"/>
          <w:szCs w:val="20"/>
        </w:rPr>
        <w:t>9</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Pr>
          <w:rFonts w:ascii="Arial" w:hAnsi="Arial" w:cs="Arial"/>
          <w:sz w:val="20"/>
          <w:szCs w:val="20"/>
        </w:rPr>
        <w:t>II Septiembre-Diciembre</w:t>
      </w:r>
      <w:r w:rsidR="002A7404">
        <w:rPr>
          <w:rFonts w:ascii="Arial" w:hAnsi="Arial" w:cs="Arial"/>
          <w:sz w:val="20"/>
          <w:szCs w:val="20"/>
        </w:rPr>
        <w:t xml:space="preserve"> </w:t>
      </w:r>
      <w:r>
        <w:rPr>
          <w:rFonts w:ascii="Arial" w:hAnsi="Arial" w:cs="Arial"/>
          <w:sz w:val="20"/>
          <w:szCs w:val="20"/>
        </w:rPr>
        <w:t xml:space="preserve">2019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644BFD" w:rsidP="00D509AB">
      <w:pPr>
        <w:spacing w:line="360" w:lineRule="auto"/>
        <w:jc w:val="both"/>
        <w:rPr>
          <w:rFonts w:ascii="Arial" w:hAnsi="Arial" w:cs="Arial"/>
          <w:sz w:val="20"/>
          <w:szCs w:val="20"/>
        </w:rPr>
      </w:pPr>
      <w:r>
        <w:rPr>
          <w:rFonts w:ascii="Arial" w:hAnsi="Arial" w:cs="Arial"/>
          <w:sz w:val="20"/>
          <w:szCs w:val="20"/>
        </w:rPr>
        <w:t>Durante el ejercicio 201</w:t>
      </w:r>
      <w:r w:rsidR="007C0393">
        <w:rPr>
          <w:rFonts w:ascii="Arial" w:hAnsi="Arial" w:cs="Arial"/>
          <w:sz w:val="20"/>
          <w:szCs w:val="20"/>
        </w:rPr>
        <w:t>8</w:t>
      </w:r>
      <w:r>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Pr="00AF5841">
        <w:rPr>
          <w:rFonts w:ascii="Arial" w:hAnsi="Arial" w:cs="Arial"/>
          <w:sz w:val="20"/>
          <w:szCs w:val="20"/>
        </w:rPr>
        <w:t xml:space="preserve">y promoción </w:t>
      </w:r>
      <w:r>
        <w:rPr>
          <w:rFonts w:ascii="Arial" w:hAnsi="Arial" w:cs="Arial"/>
          <w:sz w:val="20"/>
          <w:szCs w:val="20"/>
        </w:rPr>
        <w:t>de</w:t>
      </w:r>
      <w:r w:rsidR="007C0393">
        <w:rPr>
          <w:rFonts w:ascii="Arial" w:hAnsi="Arial" w:cs="Arial"/>
          <w:sz w:val="20"/>
          <w:szCs w:val="20"/>
        </w:rPr>
        <w:t xml:space="preserve"> la</w:t>
      </w:r>
      <w:r>
        <w:rPr>
          <w:rFonts w:ascii="Arial" w:hAnsi="Arial" w:cs="Arial"/>
          <w:sz w:val="20"/>
          <w:szCs w:val="20"/>
        </w:rPr>
        <w:t xml:space="preserve"> música académica </w:t>
      </w:r>
      <w:r w:rsidR="007C0393">
        <w:rPr>
          <w:rFonts w:ascii="Arial" w:hAnsi="Arial" w:cs="Arial"/>
          <w:sz w:val="20"/>
          <w:szCs w:val="20"/>
        </w:rPr>
        <w:t>para lograr una mayor asistencia a</w:t>
      </w:r>
      <w:r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Pr="00AF5841">
        <w:rPr>
          <w:rFonts w:ascii="Arial" w:hAnsi="Arial" w:cs="Arial"/>
          <w:sz w:val="20"/>
          <w:szCs w:val="20"/>
        </w:rPr>
        <w:t>con la mejor calidad pos</w:t>
      </w:r>
      <w:r w:rsidR="00C47DE6">
        <w:rPr>
          <w:rFonts w:ascii="Arial" w:hAnsi="Arial" w:cs="Arial"/>
          <w:sz w:val="20"/>
          <w:szCs w:val="20"/>
        </w:rPr>
        <w:t>ible, contribuyendo a promover los</w:t>
      </w:r>
      <w:r w:rsidRPr="00AF5841">
        <w:rPr>
          <w:rFonts w:ascii="Arial" w:hAnsi="Arial" w:cs="Arial"/>
          <w:sz w:val="20"/>
          <w:szCs w:val="20"/>
        </w:rPr>
        <w:t xml:space="preserve"> talentos nacionales e internacionales</w:t>
      </w:r>
      <w:r w:rsidR="00C47DE6">
        <w:rPr>
          <w:rFonts w:ascii="Arial" w:hAnsi="Arial" w:cs="Arial"/>
          <w:sz w:val="20"/>
          <w:szCs w:val="20"/>
        </w:rPr>
        <w:t>.</w:t>
      </w:r>
      <w:r w:rsidRPr="00AF5841">
        <w:rPr>
          <w:rFonts w:ascii="Arial" w:hAnsi="Arial" w:cs="Arial"/>
          <w:sz w:val="20"/>
          <w:szCs w:val="20"/>
        </w:rPr>
        <w:t xml:space="preserve"> </w:t>
      </w:r>
      <w:r w:rsidR="00C47DE6">
        <w:rPr>
          <w:rFonts w:ascii="Arial" w:hAnsi="Arial" w:cs="Arial"/>
          <w:sz w:val="20"/>
          <w:szCs w:val="20"/>
        </w:rPr>
        <w:t>La Orquesta proporciona</w:t>
      </w:r>
      <w:r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Pr="00AF5841">
        <w:rPr>
          <w:rFonts w:ascii="Arial" w:hAnsi="Arial" w:cs="Arial"/>
          <w:sz w:val="20"/>
          <w:szCs w:val="20"/>
        </w:rPr>
        <w:t>locales</w:t>
      </w:r>
      <w:r>
        <w:rPr>
          <w:rFonts w:ascii="Arial" w:hAnsi="Arial" w:cs="Arial"/>
          <w:sz w:val="20"/>
          <w:szCs w:val="20"/>
        </w:rPr>
        <w:t xml:space="preserve"> </w:t>
      </w:r>
      <w:r w:rsidR="00C47DE6">
        <w:rPr>
          <w:rFonts w:ascii="Arial" w:hAnsi="Arial" w:cs="Arial"/>
          <w:sz w:val="20"/>
          <w:szCs w:val="20"/>
        </w:rPr>
        <w:t>y ofrece</w:t>
      </w:r>
      <w:r>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Pr>
          <w:rFonts w:ascii="Arial" w:hAnsi="Arial" w:cs="Arial"/>
          <w:sz w:val="20"/>
          <w:szCs w:val="20"/>
        </w:rPr>
        <w:t xml:space="preserve"> </w:t>
      </w:r>
      <w:r w:rsidR="00C47DE6">
        <w:rPr>
          <w:rFonts w:ascii="Arial" w:hAnsi="Arial" w:cs="Arial"/>
          <w:sz w:val="20"/>
          <w:szCs w:val="20"/>
        </w:rPr>
        <w:t>E</w:t>
      </w:r>
      <w:r>
        <w:rPr>
          <w:rFonts w:ascii="Arial" w:hAnsi="Arial" w:cs="Arial"/>
          <w:sz w:val="20"/>
          <w:szCs w:val="20"/>
        </w:rPr>
        <w:t>l</w:t>
      </w:r>
      <w:r w:rsidR="00C47DE6">
        <w:rPr>
          <w:rFonts w:ascii="Arial" w:hAnsi="Arial" w:cs="Arial"/>
          <w:sz w:val="20"/>
          <w:szCs w:val="20"/>
        </w:rPr>
        <w:t xml:space="preserve"> propósito de incrementar a un 3</w:t>
      </w:r>
      <w:r>
        <w:rPr>
          <w:rFonts w:ascii="Arial" w:hAnsi="Arial" w:cs="Arial"/>
          <w:sz w:val="20"/>
          <w:szCs w:val="20"/>
        </w:rPr>
        <w:t xml:space="preserve">% </w:t>
      </w:r>
      <w:r w:rsidR="00C47DE6">
        <w:rPr>
          <w:rFonts w:ascii="Arial" w:hAnsi="Arial" w:cs="Arial"/>
          <w:sz w:val="20"/>
          <w:szCs w:val="20"/>
        </w:rPr>
        <w:t xml:space="preserve">la </w:t>
      </w:r>
      <w:r>
        <w:rPr>
          <w:rFonts w:ascii="Arial" w:hAnsi="Arial" w:cs="Arial"/>
          <w:sz w:val="20"/>
          <w:szCs w:val="20"/>
        </w:rPr>
        <w:t>asistencia promedio</w:t>
      </w:r>
      <w:r w:rsidR="00C47DE6">
        <w:rPr>
          <w:rFonts w:ascii="Arial" w:hAnsi="Arial" w:cs="Arial"/>
          <w:sz w:val="20"/>
          <w:szCs w:val="20"/>
        </w:rPr>
        <w:t xml:space="preserve"> a los eventos </w:t>
      </w:r>
      <w:r>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201</w:t>
      </w:r>
      <w:r w:rsidR="004A6FA9">
        <w:rPr>
          <w:rFonts w:ascii="Arial" w:hAnsi="Arial" w:cs="Arial"/>
          <w:sz w:val="20"/>
          <w:szCs w:val="20"/>
        </w:rPr>
        <w:t>9</w:t>
      </w:r>
      <w:r w:rsidRPr="00AF5841">
        <w:rPr>
          <w:rFonts w:ascii="Arial" w:hAnsi="Arial" w:cs="Arial"/>
          <w:sz w:val="20"/>
          <w:szCs w:val="20"/>
        </w:rPr>
        <w:t xml:space="preserve"> y el resultado obtenido por el período del </w:t>
      </w:r>
      <w:r w:rsidR="00D73F84">
        <w:rPr>
          <w:rFonts w:ascii="Arial" w:hAnsi="Arial" w:cs="Arial"/>
          <w:sz w:val="20"/>
          <w:szCs w:val="20"/>
        </w:rPr>
        <w:t xml:space="preserve">1 </w:t>
      </w:r>
      <w:r w:rsidR="00890EC0">
        <w:rPr>
          <w:rFonts w:ascii="Arial" w:hAnsi="Arial" w:cs="Arial"/>
          <w:sz w:val="20"/>
          <w:szCs w:val="20"/>
        </w:rPr>
        <w:t xml:space="preserve">de Enero </w:t>
      </w:r>
      <w:r w:rsidR="00E63982">
        <w:rPr>
          <w:rFonts w:ascii="Arial" w:hAnsi="Arial" w:cs="Arial"/>
          <w:sz w:val="20"/>
          <w:szCs w:val="20"/>
        </w:rPr>
        <w:t xml:space="preserve">al </w:t>
      </w:r>
      <w:r w:rsidR="00A137EC">
        <w:rPr>
          <w:rFonts w:ascii="Arial" w:hAnsi="Arial" w:cs="Arial"/>
          <w:sz w:val="20"/>
          <w:szCs w:val="20"/>
        </w:rPr>
        <w:t>31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E63982">
        <w:rPr>
          <w:rFonts w:ascii="Arial" w:hAnsi="Arial" w:cs="Arial"/>
          <w:sz w:val="20"/>
          <w:szCs w:val="20"/>
        </w:rPr>
        <w:t>9</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FF34E4" w:rsidP="00D509AB">
            <w:pPr>
              <w:jc w:val="center"/>
              <w:rPr>
                <w:rFonts w:ascii="Arial" w:hAnsi="Arial" w:cs="Arial"/>
                <w:sz w:val="20"/>
                <w:szCs w:val="20"/>
              </w:rPr>
            </w:pPr>
            <w:r>
              <w:rPr>
                <w:rFonts w:ascii="Arial" w:hAnsi="Arial" w:cs="Arial"/>
                <w:sz w:val="20"/>
                <w:szCs w:val="20"/>
              </w:rPr>
              <w:t>720</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164AB5">
        <w:rPr>
          <w:rFonts w:ascii="Arial" w:hAnsi="Arial" w:cs="Arial"/>
          <w:sz w:val="20"/>
          <w:szCs w:val="20"/>
        </w:rPr>
        <w:t xml:space="preserve">019, se erogó la cantidad de $ </w:t>
      </w:r>
      <w:r w:rsidR="00A137EC">
        <w:rPr>
          <w:rFonts w:ascii="Arial" w:hAnsi="Arial" w:cs="Arial"/>
          <w:sz w:val="20"/>
          <w:szCs w:val="20"/>
        </w:rPr>
        <w:t>13,276,091</w:t>
      </w:r>
      <w:r w:rsidRPr="00B0794A">
        <w:rPr>
          <w:rFonts w:ascii="Arial" w:hAnsi="Arial" w:cs="Arial"/>
          <w:sz w:val="20"/>
          <w:szCs w:val="20"/>
        </w:rPr>
        <w:t>.00, con el fin de realizar los eventos artísticos y la promoción de los conciertos en los medios electrónicos e impresos. P</w:t>
      </w:r>
      <w:r w:rsidR="00FF34E4">
        <w:rPr>
          <w:rFonts w:ascii="Arial" w:hAnsi="Arial" w:cs="Arial"/>
          <w:sz w:val="20"/>
          <w:szCs w:val="20"/>
        </w:rPr>
        <w:t>ara tal efecto, se realizaron 54</w:t>
      </w:r>
      <w:r w:rsidRPr="00B0794A">
        <w:rPr>
          <w:rFonts w:ascii="Arial" w:hAnsi="Arial" w:cs="Arial"/>
          <w:sz w:val="20"/>
          <w:szCs w:val="20"/>
        </w:rPr>
        <w:t xml:space="preserve"> conciertos de las temporadas XXXI Enero-Junio </w:t>
      </w:r>
      <w:r w:rsidR="00CB736C">
        <w:rPr>
          <w:rFonts w:ascii="Arial" w:hAnsi="Arial" w:cs="Arial"/>
          <w:sz w:val="20"/>
          <w:szCs w:val="20"/>
        </w:rPr>
        <w:t xml:space="preserve">Y XXXII Septiembre-Diciembre </w:t>
      </w:r>
      <w:r w:rsidRPr="00B0794A">
        <w:rPr>
          <w:rFonts w:ascii="Arial" w:hAnsi="Arial" w:cs="Arial"/>
          <w:sz w:val="20"/>
          <w:szCs w:val="20"/>
        </w:rPr>
        <w:t xml:space="preserve">de la Orquesta Sinfónica de Yucatán, contando con una asistencia total de </w:t>
      </w:r>
      <w:r w:rsidR="00FF34E4">
        <w:rPr>
          <w:rFonts w:ascii="Arial" w:hAnsi="Arial" w:cs="Arial"/>
          <w:sz w:val="20"/>
          <w:szCs w:val="20"/>
        </w:rPr>
        <w:t>38,904</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FF34E4">
        <w:rPr>
          <w:rFonts w:ascii="Arial" w:hAnsi="Arial" w:cs="Arial"/>
          <w:sz w:val="20"/>
          <w:szCs w:val="20"/>
        </w:rPr>
        <w:t>720</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4E2770">
        <w:rPr>
          <w:rFonts w:ascii="Arial" w:hAnsi="Arial" w:cs="Arial"/>
          <w:sz w:val="20"/>
          <w:szCs w:val="20"/>
        </w:rPr>
        <w:t>io 201</w:t>
      </w:r>
      <w:r w:rsidR="004A6FA9">
        <w:rPr>
          <w:rFonts w:ascii="Arial" w:hAnsi="Arial" w:cs="Arial"/>
          <w:sz w:val="20"/>
          <w:szCs w:val="20"/>
        </w:rPr>
        <w:t>9</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de Enero</w:t>
      </w:r>
      <w:r w:rsidR="00E63982">
        <w:rPr>
          <w:rFonts w:ascii="Arial" w:hAnsi="Arial" w:cs="Arial"/>
          <w:sz w:val="20"/>
          <w:szCs w:val="20"/>
        </w:rPr>
        <w:t xml:space="preserve"> al </w:t>
      </w:r>
      <w:r w:rsidR="00F072ED">
        <w:rPr>
          <w:rFonts w:ascii="Arial" w:hAnsi="Arial" w:cs="Arial"/>
          <w:sz w:val="20"/>
          <w:szCs w:val="20"/>
        </w:rPr>
        <w:t>3</w:t>
      </w:r>
      <w:r w:rsidR="00A137EC">
        <w:rPr>
          <w:rFonts w:ascii="Arial" w:hAnsi="Arial" w:cs="Arial"/>
          <w:sz w:val="20"/>
          <w:szCs w:val="20"/>
        </w:rPr>
        <w:t>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E63982">
        <w:rPr>
          <w:rFonts w:ascii="Arial" w:hAnsi="Arial" w:cs="Arial"/>
          <w:sz w:val="20"/>
          <w:szCs w:val="20"/>
        </w:rPr>
        <w:t>9</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A137EC" w:rsidP="0057487A">
            <w:pPr>
              <w:jc w:val="center"/>
              <w:rPr>
                <w:rFonts w:ascii="Arial" w:hAnsi="Arial" w:cs="Arial"/>
                <w:sz w:val="20"/>
                <w:szCs w:val="20"/>
              </w:rPr>
            </w:pPr>
            <w:r>
              <w:rPr>
                <w:rFonts w:ascii="Arial" w:hAnsi="Arial" w:cs="Arial"/>
                <w:sz w:val="20"/>
                <w:szCs w:val="20"/>
              </w:rPr>
              <w:t>79</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 xml:space="preserve">1 </w:t>
      </w:r>
      <w:r w:rsidR="00890EC0">
        <w:rPr>
          <w:rFonts w:ascii="Arial" w:hAnsi="Arial" w:cs="Arial"/>
          <w:sz w:val="20"/>
          <w:szCs w:val="20"/>
        </w:rPr>
        <w:t xml:space="preserve">de Enero </w:t>
      </w:r>
      <w:r w:rsidR="00660BB9">
        <w:rPr>
          <w:rFonts w:ascii="Arial" w:hAnsi="Arial" w:cs="Arial"/>
          <w:sz w:val="20"/>
          <w:szCs w:val="20"/>
        </w:rPr>
        <w:t xml:space="preserve">al </w:t>
      </w:r>
      <w:r w:rsidR="00A137EC">
        <w:rPr>
          <w:rFonts w:ascii="Arial" w:hAnsi="Arial" w:cs="Arial"/>
          <w:sz w:val="20"/>
          <w:szCs w:val="20"/>
        </w:rPr>
        <w:t>31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660BB9">
        <w:rPr>
          <w:rFonts w:ascii="Arial" w:hAnsi="Arial" w:cs="Arial"/>
          <w:sz w:val="20"/>
          <w:szCs w:val="20"/>
        </w:rPr>
        <w:t>9</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CD3A21">
        <w:rPr>
          <w:rFonts w:ascii="Arial" w:hAnsi="Arial" w:cs="Arial"/>
          <w:sz w:val="20"/>
          <w:szCs w:val="20"/>
        </w:rPr>
        <w:t>5</w:t>
      </w:r>
      <w:r w:rsidR="00A137EC">
        <w:rPr>
          <w:rFonts w:ascii="Arial" w:hAnsi="Arial" w:cs="Arial"/>
          <w:sz w:val="20"/>
          <w:szCs w:val="20"/>
        </w:rPr>
        <w:t>92,035</w:t>
      </w:r>
      <w:r w:rsidR="00B0794A">
        <w:rPr>
          <w:rFonts w:ascii="Arial" w:hAnsi="Arial" w:cs="Arial"/>
          <w:sz w:val="20"/>
          <w:szCs w:val="20"/>
        </w:rPr>
        <w:t>.00 que equivale</w:t>
      </w:r>
      <w:r w:rsidR="005736D7">
        <w:rPr>
          <w:rFonts w:ascii="Arial" w:hAnsi="Arial" w:cs="Arial"/>
          <w:sz w:val="20"/>
          <w:szCs w:val="20"/>
        </w:rPr>
        <w:t xml:space="preserve"> el </w:t>
      </w:r>
      <w:r w:rsidR="00A137EC">
        <w:rPr>
          <w:rFonts w:ascii="Arial" w:hAnsi="Arial" w:cs="Arial"/>
          <w:sz w:val="20"/>
          <w:szCs w:val="20"/>
        </w:rPr>
        <w:t>79</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A137EC">
        <w:rPr>
          <w:rFonts w:ascii="Arial" w:hAnsi="Arial" w:cs="Arial"/>
          <w:sz w:val="20"/>
          <w:szCs w:val="20"/>
        </w:rPr>
        <w:t>155</w:t>
      </w:r>
      <w:r w:rsidR="00CD3A21">
        <w:rPr>
          <w:rFonts w:ascii="Arial" w:hAnsi="Arial" w:cs="Arial"/>
          <w:sz w:val="20"/>
          <w:szCs w:val="20"/>
        </w:rPr>
        <w:t>,</w:t>
      </w:r>
      <w:r w:rsidR="00A137EC">
        <w:rPr>
          <w:rFonts w:ascii="Arial" w:hAnsi="Arial" w:cs="Arial"/>
          <w:sz w:val="20"/>
          <w:szCs w:val="20"/>
        </w:rPr>
        <w:t>039</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w:t>
      </w:r>
      <w:r w:rsidR="004D5218">
        <w:rPr>
          <w:rFonts w:ascii="Arial" w:hAnsi="Arial" w:cs="Arial"/>
          <w:sz w:val="20"/>
          <w:szCs w:val="20"/>
        </w:rPr>
        <w:t>9</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Enero </w:t>
      </w:r>
      <w:r w:rsidR="004D5218">
        <w:rPr>
          <w:rFonts w:ascii="Arial" w:hAnsi="Arial" w:cs="Arial"/>
          <w:sz w:val="20"/>
          <w:szCs w:val="20"/>
        </w:rPr>
        <w:t xml:space="preserve">al </w:t>
      </w:r>
      <w:r w:rsidR="00CD3A21">
        <w:rPr>
          <w:rFonts w:ascii="Arial" w:hAnsi="Arial" w:cs="Arial"/>
          <w:sz w:val="20"/>
          <w:szCs w:val="20"/>
        </w:rPr>
        <w:t>3</w:t>
      </w:r>
      <w:r w:rsidR="00A137EC">
        <w:rPr>
          <w:rFonts w:ascii="Arial" w:hAnsi="Arial" w:cs="Arial"/>
          <w:sz w:val="20"/>
          <w:szCs w:val="20"/>
        </w:rPr>
        <w:t>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4D5218">
        <w:rPr>
          <w:rFonts w:ascii="Arial" w:hAnsi="Arial" w:cs="Arial"/>
          <w:sz w:val="20"/>
          <w:szCs w:val="20"/>
        </w:rPr>
        <w:t>9</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457949" w:rsidP="00CD1AD4">
            <w:pPr>
              <w:jc w:val="center"/>
              <w:rPr>
                <w:rFonts w:ascii="Arial" w:hAnsi="Arial" w:cs="Arial"/>
                <w:sz w:val="20"/>
                <w:szCs w:val="20"/>
              </w:rPr>
            </w:pPr>
            <w:r>
              <w:rPr>
                <w:rFonts w:ascii="Arial" w:hAnsi="Arial" w:cs="Arial"/>
                <w:sz w:val="20"/>
                <w:szCs w:val="20"/>
              </w:rPr>
              <w:t>96</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Enero </w:t>
      </w:r>
      <w:r w:rsidR="004D5218">
        <w:rPr>
          <w:rFonts w:ascii="Arial" w:hAnsi="Arial" w:cs="Arial"/>
          <w:sz w:val="20"/>
          <w:szCs w:val="20"/>
        </w:rPr>
        <w:t xml:space="preserve">al </w:t>
      </w:r>
      <w:r w:rsidR="00A137EC">
        <w:rPr>
          <w:rFonts w:ascii="Arial" w:hAnsi="Arial" w:cs="Arial"/>
          <w:sz w:val="20"/>
          <w:szCs w:val="20"/>
        </w:rPr>
        <w:t>31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iembre</w:t>
      </w:r>
      <w:r w:rsidR="00D73F84">
        <w:rPr>
          <w:rFonts w:ascii="Arial" w:hAnsi="Arial" w:cs="Arial"/>
          <w:sz w:val="20"/>
          <w:szCs w:val="20"/>
        </w:rPr>
        <w:t xml:space="preserve"> </w:t>
      </w:r>
      <w:r w:rsidR="00D73F84" w:rsidRPr="00D509AB">
        <w:rPr>
          <w:rFonts w:ascii="Arial" w:hAnsi="Arial" w:cs="Arial"/>
          <w:sz w:val="20"/>
          <w:szCs w:val="20"/>
        </w:rPr>
        <w:t>de 201</w:t>
      </w:r>
      <w:r w:rsidR="004D5218">
        <w:rPr>
          <w:rFonts w:ascii="Arial" w:hAnsi="Arial" w:cs="Arial"/>
          <w:sz w:val="20"/>
          <w:szCs w:val="20"/>
        </w:rPr>
        <w:t>9</w:t>
      </w:r>
      <w:r w:rsidRPr="00EB3D10">
        <w:rPr>
          <w:rFonts w:ascii="Arial" w:hAnsi="Arial" w:cs="Arial"/>
          <w:sz w:val="20"/>
          <w:szCs w:val="20"/>
        </w:rPr>
        <w:t xml:space="preserve"> se capacitó el </w:t>
      </w:r>
      <w:r w:rsidR="00457949">
        <w:rPr>
          <w:rFonts w:ascii="Arial" w:hAnsi="Arial" w:cs="Arial"/>
          <w:sz w:val="20"/>
          <w:szCs w:val="20"/>
        </w:rPr>
        <w:t>96</w:t>
      </w:r>
      <w:bookmarkStart w:id="4" w:name="_GoBack"/>
      <w:bookmarkEnd w:id="4"/>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A137EC">
        <w:rPr>
          <w:rFonts w:ascii="Arial" w:hAnsi="Arial" w:cs="Arial"/>
          <w:sz w:val="20"/>
          <w:szCs w:val="20"/>
        </w:rPr>
        <w:t>124,726</w:t>
      </w:r>
      <w:r w:rsidR="00C00E96">
        <w:rPr>
          <w:rFonts w:ascii="Arial" w:hAnsi="Arial" w:cs="Arial"/>
          <w:sz w:val="20"/>
          <w:szCs w:val="20"/>
        </w:rPr>
        <w:t xml:space="preserve">.00, quedando pendiente de ejercer la cantidad $ </w:t>
      </w:r>
      <w:r w:rsidR="00CD3A21">
        <w:rPr>
          <w:rFonts w:ascii="Arial" w:hAnsi="Arial" w:cs="Arial"/>
          <w:sz w:val="20"/>
          <w:szCs w:val="20"/>
        </w:rPr>
        <w:t>149</w:t>
      </w:r>
      <w:r w:rsidR="007213A6">
        <w:rPr>
          <w:rFonts w:ascii="Arial" w:hAnsi="Arial" w:cs="Arial"/>
          <w:sz w:val="20"/>
          <w:szCs w:val="20"/>
        </w:rPr>
        <w:t>,</w:t>
      </w:r>
      <w:r w:rsidR="00A137EC">
        <w:rPr>
          <w:rFonts w:ascii="Arial" w:hAnsi="Arial" w:cs="Arial"/>
          <w:sz w:val="20"/>
          <w:szCs w:val="20"/>
        </w:rPr>
        <w:t>605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ea alcanzar en el ejercicio 201</w:t>
      </w:r>
      <w:r w:rsidR="004A6FA9">
        <w:rPr>
          <w:rFonts w:ascii="Arial" w:hAnsi="Arial" w:cs="Arial"/>
          <w:sz w:val="20"/>
          <w:szCs w:val="20"/>
        </w:rPr>
        <w:t>9</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de Enero</w:t>
      </w:r>
      <w:r w:rsidR="00D73F84">
        <w:rPr>
          <w:rFonts w:ascii="Arial" w:hAnsi="Arial" w:cs="Arial"/>
          <w:sz w:val="20"/>
          <w:szCs w:val="20"/>
        </w:rPr>
        <w:t xml:space="preserve"> </w:t>
      </w:r>
      <w:r w:rsidR="00F906D5">
        <w:rPr>
          <w:rFonts w:ascii="Arial" w:hAnsi="Arial" w:cs="Arial"/>
          <w:sz w:val="20"/>
          <w:szCs w:val="20"/>
        </w:rPr>
        <w:t xml:space="preserve">al </w:t>
      </w:r>
      <w:r w:rsidR="00C45A89">
        <w:rPr>
          <w:rFonts w:ascii="Arial" w:hAnsi="Arial" w:cs="Arial"/>
          <w:sz w:val="20"/>
          <w:szCs w:val="20"/>
        </w:rPr>
        <w:t>3</w:t>
      </w:r>
      <w:r w:rsidR="00A137EC">
        <w:rPr>
          <w:rFonts w:ascii="Arial" w:hAnsi="Arial" w:cs="Arial"/>
          <w:sz w:val="20"/>
          <w:szCs w:val="20"/>
        </w:rPr>
        <w:t>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F906D5">
        <w:rPr>
          <w:rFonts w:ascii="Arial" w:hAnsi="Arial" w:cs="Arial"/>
          <w:sz w:val="20"/>
          <w:szCs w:val="20"/>
        </w:rPr>
        <w:t>9</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CD3A21" w:rsidP="00843D2F">
            <w:pPr>
              <w:jc w:val="center"/>
              <w:rPr>
                <w:rFonts w:ascii="Arial" w:hAnsi="Arial" w:cs="Arial"/>
                <w:sz w:val="20"/>
                <w:szCs w:val="20"/>
              </w:rPr>
            </w:pPr>
            <w:r>
              <w:rPr>
                <w:rFonts w:ascii="Arial" w:hAnsi="Arial" w:cs="Arial"/>
                <w:sz w:val="20"/>
                <w:szCs w:val="20"/>
              </w:rPr>
              <w:t>8</w:t>
            </w:r>
            <w:r w:rsidR="007213A6">
              <w:rPr>
                <w:rFonts w:ascii="Arial" w:hAnsi="Arial" w:cs="Arial"/>
                <w:sz w:val="20"/>
                <w:szCs w:val="20"/>
              </w:rPr>
              <w:t>0</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 xml:space="preserve">1 </w:t>
      </w:r>
      <w:r w:rsidR="00890EC0">
        <w:rPr>
          <w:rFonts w:ascii="Arial" w:hAnsi="Arial" w:cs="Arial"/>
          <w:sz w:val="20"/>
          <w:szCs w:val="20"/>
        </w:rPr>
        <w:t xml:space="preserve">de Enero </w:t>
      </w:r>
      <w:r w:rsidR="00F906D5">
        <w:rPr>
          <w:rFonts w:ascii="Arial" w:hAnsi="Arial" w:cs="Arial"/>
          <w:sz w:val="20"/>
          <w:szCs w:val="20"/>
        </w:rPr>
        <w:t xml:space="preserve">al </w:t>
      </w:r>
      <w:r w:rsidR="00A137EC">
        <w:rPr>
          <w:rFonts w:ascii="Arial" w:hAnsi="Arial" w:cs="Arial"/>
          <w:sz w:val="20"/>
          <w:szCs w:val="20"/>
        </w:rPr>
        <w:t>31</w:t>
      </w:r>
      <w:r w:rsidR="003A2384">
        <w:rPr>
          <w:rFonts w:ascii="Arial" w:hAnsi="Arial" w:cs="Arial"/>
          <w:sz w:val="20"/>
          <w:szCs w:val="20"/>
        </w:rPr>
        <w:t xml:space="preserve"> de </w:t>
      </w:r>
      <w:r w:rsidR="00A137EC">
        <w:rPr>
          <w:rFonts w:ascii="Arial" w:hAnsi="Arial" w:cs="Arial"/>
          <w:sz w:val="20"/>
          <w:szCs w:val="20"/>
        </w:rPr>
        <w:t>Dic</w:t>
      </w:r>
      <w:r w:rsidR="00CD3A21">
        <w:rPr>
          <w:rFonts w:ascii="Arial" w:hAnsi="Arial" w:cs="Arial"/>
          <w:sz w:val="20"/>
          <w:szCs w:val="20"/>
        </w:rPr>
        <w:t>iem</w:t>
      </w:r>
      <w:r w:rsidR="005E6EA9">
        <w:rPr>
          <w:rFonts w:ascii="Arial" w:hAnsi="Arial" w:cs="Arial"/>
          <w:sz w:val="20"/>
          <w:szCs w:val="20"/>
        </w:rPr>
        <w:t>bre</w:t>
      </w:r>
      <w:r w:rsidR="00D73F84">
        <w:rPr>
          <w:rFonts w:ascii="Arial" w:hAnsi="Arial" w:cs="Arial"/>
          <w:sz w:val="20"/>
          <w:szCs w:val="20"/>
        </w:rPr>
        <w:t xml:space="preserve"> </w:t>
      </w:r>
      <w:r w:rsidR="00D73F84" w:rsidRPr="00D509AB">
        <w:rPr>
          <w:rFonts w:ascii="Arial" w:hAnsi="Arial" w:cs="Arial"/>
          <w:sz w:val="20"/>
          <w:szCs w:val="20"/>
        </w:rPr>
        <w:t>de 201</w:t>
      </w:r>
      <w:r w:rsidR="00F906D5">
        <w:rPr>
          <w:rFonts w:ascii="Arial" w:hAnsi="Arial" w:cs="Arial"/>
          <w:sz w:val="20"/>
          <w:szCs w:val="20"/>
        </w:rPr>
        <w:t>9</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CD3A21">
        <w:rPr>
          <w:rFonts w:ascii="Arial" w:hAnsi="Arial" w:cs="Arial"/>
          <w:sz w:val="20"/>
          <w:szCs w:val="20"/>
        </w:rPr>
        <w:t>2,</w:t>
      </w:r>
      <w:r w:rsidR="00A137EC">
        <w:rPr>
          <w:rFonts w:ascii="Arial" w:hAnsi="Arial" w:cs="Arial"/>
          <w:sz w:val="20"/>
          <w:szCs w:val="20"/>
        </w:rPr>
        <w:t>431,426</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CD3A21">
        <w:rPr>
          <w:rFonts w:ascii="Arial" w:hAnsi="Arial" w:cs="Arial"/>
          <w:sz w:val="20"/>
          <w:szCs w:val="20"/>
        </w:rPr>
        <w:t>8</w:t>
      </w:r>
      <w:r w:rsidR="007213A6">
        <w:rPr>
          <w:rFonts w:ascii="Arial" w:hAnsi="Arial" w:cs="Arial"/>
          <w:sz w:val="20"/>
          <w:szCs w:val="20"/>
        </w:rPr>
        <w:t>0</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C00E96">
        <w:rPr>
          <w:rFonts w:ascii="Arial" w:hAnsi="Arial" w:cs="Arial"/>
          <w:sz w:val="20"/>
          <w:szCs w:val="20"/>
        </w:rPr>
        <w:t xml:space="preserve">$ </w:t>
      </w:r>
      <w:r w:rsidR="00A137EC">
        <w:rPr>
          <w:rFonts w:ascii="Arial" w:hAnsi="Arial" w:cs="Arial"/>
          <w:sz w:val="20"/>
          <w:szCs w:val="20"/>
        </w:rPr>
        <w:t>135,326</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E3" w:rsidRDefault="00CA4AE3">
      <w:r>
        <w:separator/>
      </w:r>
    </w:p>
  </w:endnote>
  <w:endnote w:type="continuationSeparator" w:id="0">
    <w:p w:rsidR="00CA4AE3" w:rsidRDefault="00CA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E3" w:rsidRDefault="00CA4AE3">
      <w:r>
        <w:separator/>
      </w:r>
    </w:p>
  </w:footnote>
  <w:footnote w:type="continuationSeparator" w:id="0">
    <w:p w:rsidR="00CA4AE3" w:rsidRDefault="00CA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0B3BC0AF" wp14:editId="0E5B9EAB">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540E5">
      <w:rPr>
        <w:rFonts w:asciiTheme="minorHAnsi" w:hAnsiTheme="minorHAnsi"/>
        <w:b/>
        <w:sz w:val="22"/>
        <w:szCs w:val="22"/>
        <w:lang w:val="es-ES"/>
      </w:rPr>
      <w:t>al 31</w:t>
    </w:r>
    <w:r w:rsidR="003C1C69">
      <w:rPr>
        <w:rFonts w:asciiTheme="minorHAnsi" w:hAnsiTheme="minorHAnsi"/>
        <w:b/>
        <w:sz w:val="22"/>
        <w:szCs w:val="22"/>
        <w:lang w:val="es-ES"/>
      </w:rPr>
      <w:t xml:space="preserve"> de </w:t>
    </w:r>
    <w:r w:rsidR="00C540E5">
      <w:rPr>
        <w:rFonts w:asciiTheme="minorHAnsi" w:hAnsiTheme="minorHAnsi"/>
        <w:b/>
        <w:sz w:val="22"/>
        <w:szCs w:val="22"/>
        <w:lang w:val="es-ES"/>
      </w:rPr>
      <w:t>Dic</w:t>
    </w:r>
    <w:r w:rsidR="00F41668">
      <w:rPr>
        <w:rFonts w:asciiTheme="minorHAnsi" w:hAnsiTheme="minorHAnsi"/>
        <w:b/>
        <w:sz w:val="22"/>
        <w:szCs w:val="22"/>
        <w:lang w:val="es-ES"/>
      </w:rPr>
      <w:t>iem</w:t>
    </w:r>
    <w:r w:rsidR="005E6EA9">
      <w:rPr>
        <w:rFonts w:asciiTheme="minorHAnsi" w:hAnsiTheme="minorHAnsi"/>
        <w:b/>
        <w:sz w:val="22"/>
        <w:szCs w:val="22"/>
        <w:lang w:val="es-ES"/>
      </w:rPr>
      <w:t>bre</w:t>
    </w:r>
    <w:r w:rsidR="003C1C69">
      <w:rPr>
        <w:rFonts w:asciiTheme="minorHAnsi" w:hAnsiTheme="minorHAnsi"/>
        <w:b/>
        <w:sz w:val="22"/>
        <w:szCs w:val="22"/>
        <w:lang w:val="es-ES"/>
      </w:rPr>
      <w:t xml:space="preserve"> </w:t>
    </w:r>
    <w:r w:rsidR="002F1016">
      <w:rPr>
        <w:rFonts w:asciiTheme="minorHAnsi" w:hAnsiTheme="minorHAnsi"/>
        <w:b/>
        <w:sz w:val="22"/>
        <w:szCs w:val="22"/>
        <w:lang w:val="es-ES"/>
      </w:rPr>
      <w:t>de 201</w:t>
    </w:r>
    <w:r w:rsidR="004F16E0">
      <w:rPr>
        <w:rFonts w:asciiTheme="minorHAnsi" w:hAnsiTheme="minorHAnsi"/>
        <w:b/>
        <w:sz w:val="22"/>
        <w:szCs w:val="22"/>
        <w:lang w:val="es-ES"/>
      </w:rPr>
      <w:t>9</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D1B02"/>
    <w:rsid w:val="003D1FDE"/>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FB1"/>
    <w:rsid w:val="00675455"/>
    <w:rsid w:val="00677A0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6706"/>
    <w:rsid w:val="00744B02"/>
    <w:rsid w:val="007462D5"/>
    <w:rsid w:val="0074705C"/>
    <w:rsid w:val="00750EC9"/>
    <w:rsid w:val="00753EFB"/>
    <w:rsid w:val="007625E7"/>
    <w:rsid w:val="00764446"/>
    <w:rsid w:val="007757F9"/>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7E"/>
    <w:rsid w:val="007C7F8B"/>
    <w:rsid w:val="007D0A59"/>
    <w:rsid w:val="007D21EC"/>
    <w:rsid w:val="007D3A5A"/>
    <w:rsid w:val="007D4589"/>
    <w:rsid w:val="007D5389"/>
    <w:rsid w:val="007E2A02"/>
    <w:rsid w:val="007E2C2D"/>
    <w:rsid w:val="007F0F4E"/>
    <w:rsid w:val="007F4D35"/>
    <w:rsid w:val="007F591F"/>
    <w:rsid w:val="007F7157"/>
    <w:rsid w:val="008011CB"/>
    <w:rsid w:val="00802893"/>
    <w:rsid w:val="008133E2"/>
    <w:rsid w:val="00816860"/>
    <w:rsid w:val="0082685A"/>
    <w:rsid w:val="00827584"/>
    <w:rsid w:val="00832CEA"/>
    <w:rsid w:val="00832D18"/>
    <w:rsid w:val="00843D2F"/>
    <w:rsid w:val="00844EE9"/>
    <w:rsid w:val="00845235"/>
    <w:rsid w:val="0084592F"/>
    <w:rsid w:val="00845FBA"/>
    <w:rsid w:val="00852B3A"/>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2654"/>
    <w:rsid w:val="00D63DDC"/>
    <w:rsid w:val="00D73EBA"/>
    <w:rsid w:val="00D73F84"/>
    <w:rsid w:val="00D748F5"/>
    <w:rsid w:val="00D81CEA"/>
    <w:rsid w:val="00D82B88"/>
    <w:rsid w:val="00D9119C"/>
    <w:rsid w:val="00D9375F"/>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63B6"/>
    <w:rsid w:val="00DF7C46"/>
    <w:rsid w:val="00E044D4"/>
    <w:rsid w:val="00E136AA"/>
    <w:rsid w:val="00E13FAF"/>
    <w:rsid w:val="00E1446A"/>
    <w:rsid w:val="00E17698"/>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E895-C00D-4D65-8D97-E4E40CF8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6</cp:revision>
  <cp:lastPrinted>2019-10-28T18:20:00Z</cp:lastPrinted>
  <dcterms:created xsi:type="dcterms:W3CDTF">2020-01-09T22:50:00Z</dcterms:created>
  <dcterms:modified xsi:type="dcterms:W3CDTF">2020-01-10T17:40:00Z</dcterms:modified>
</cp:coreProperties>
</file>