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sidRPr="000E0C4A">
        <w:rPr>
          <w:rFonts w:ascii="Arial" w:hAnsi="Arial" w:cs="Arial"/>
          <w:sz w:val="20"/>
          <w:szCs w:val="20"/>
        </w:rPr>
        <w:t>,363,543.00</w:t>
      </w:r>
      <w:proofErr w:type="gramEnd"/>
      <w:r w:rsidRPr="000E0C4A">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BD17E8" w:rsidRDefault="00BD17E8" w:rsidP="00BD17E8">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lastRenderedPageBreak/>
        <w:t xml:space="preserve">En la </w:t>
      </w:r>
      <w:r>
        <w:rPr>
          <w:rFonts w:ascii="Arial" w:hAnsi="Arial" w:cs="Arial"/>
          <w:sz w:val="20"/>
          <w:szCs w:val="20"/>
        </w:rPr>
        <w:t xml:space="preserve">Segunda </w:t>
      </w:r>
      <w:r w:rsidRPr="000E0C4A">
        <w:rPr>
          <w:rFonts w:ascii="Arial" w:hAnsi="Arial" w:cs="Arial"/>
          <w:sz w:val="20"/>
          <w:szCs w:val="20"/>
        </w:rPr>
        <w:t xml:space="preserve">Sesión </w:t>
      </w:r>
      <w:r>
        <w:rPr>
          <w:rFonts w:ascii="Arial" w:hAnsi="Arial" w:cs="Arial"/>
          <w:sz w:val="20"/>
          <w:szCs w:val="20"/>
        </w:rPr>
        <w:t>Extrao</w:t>
      </w:r>
      <w:r w:rsidRPr="000E0C4A">
        <w:rPr>
          <w:rFonts w:ascii="Arial" w:hAnsi="Arial" w:cs="Arial"/>
          <w:sz w:val="20"/>
          <w:szCs w:val="20"/>
        </w:rPr>
        <w:t>rdinaria del ejercicio 2021 del Comité Técnico del Fideicomiso Garante de la Orquesta Sinfónica de Yucatán, se presentó una modificación al presupuesto de egresos autorizado que asciende a la cantidad de $ 29</w:t>
      </w:r>
      <w:proofErr w:type="gramStart"/>
      <w:r w:rsidR="00C10320" w:rsidRPr="000E0C4A">
        <w:rPr>
          <w:rFonts w:ascii="Arial" w:hAnsi="Arial" w:cs="Arial"/>
          <w:sz w:val="20"/>
          <w:szCs w:val="20"/>
        </w:rPr>
        <w:t>,</w:t>
      </w:r>
      <w:r w:rsidR="00C10320">
        <w:rPr>
          <w:rFonts w:ascii="Arial" w:hAnsi="Arial" w:cs="Arial"/>
          <w:sz w:val="20"/>
          <w:szCs w:val="20"/>
        </w:rPr>
        <w:t>658,543.00</w:t>
      </w:r>
      <w:proofErr w:type="gramEnd"/>
      <w:r w:rsidRPr="000E0C4A">
        <w:rPr>
          <w:rFonts w:ascii="Arial" w:hAnsi="Arial" w:cs="Arial"/>
          <w:sz w:val="20"/>
          <w:szCs w:val="20"/>
        </w:rPr>
        <w:t>.</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tbl>
      <w:tblPr>
        <w:tblW w:w="10340" w:type="dxa"/>
        <w:tblInd w:w="75" w:type="dxa"/>
        <w:tblCellMar>
          <w:left w:w="70" w:type="dxa"/>
          <w:right w:w="70" w:type="dxa"/>
        </w:tblCellMar>
        <w:tblLook w:val="04A0" w:firstRow="1" w:lastRow="0" w:firstColumn="1" w:lastColumn="0" w:noHBand="0" w:noVBand="1"/>
      </w:tblPr>
      <w:tblGrid>
        <w:gridCol w:w="837"/>
        <w:gridCol w:w="3663"/>
        <w:gridCol w:w="2740"/>
        <w:gridCol w:w="3100"/>
      </w:tblGrid>
      <w:tr w:rsidR="003D00C1" w:rsidTr="003D00C1">
        <w:trPr>
          <w:trHeight w:val="288"/>
        </w:trPr>
        <w:tc>
          <w:tcPr>
            <w:tcW w:w="4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Programa Operativo Anual</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Presupuesto 2021 Autorizado por SAF </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Presupuesto  Ejercido 1 de Enero al 31 de Octubre 2021 </w:t>
            </w:r>
          </w:p>
        </w:tc>
      </w:tr>
      <w:tr w:rsidR="003D00C1" w:rsidTr="003D00C1">
        <w:trPr>
          <w:trHeight w:val="288"/>
        </w:trPr>
        <w:tc>
          <w:tcPr>
            <w:tcW w:w="837" w:type="dxa"/>
            <w:tcBorders>
              <w:top w:val="nil"/>
              <w:left w:val="single" w:sz="4" w:space="0" w:color="auto"/>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No.</w:t>
            </w:r>
          </w:p>
        </w:tc>
        <w:tc>
          <w:tcPr>
            <w:tcW w:w="3663" w:type="dxa"/>
            <w:tcBorders>
              <w:top w:val="nil"/>
              <w:left w:val="nil"/>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Nombre</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3D00C1" w:rsidRDefault="003D00C1">
            <w:pPr>
              <w:rPr>
                <w:rFonts w:ascii="Arial" w:hAnsi="Arial" w:cs="Arial"/>
                <w:b/>
                <w:bCs/>
                <w:color w:val="000000"/>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3D00C1" w:rsidRDefault="003D00C1">
            <w:pPr>
              <w:rPr>
                <w:rFonts w:ascii="Arial" w:hAnsi="Arial" w:cs="Arial"/>
                <w:b/>
                <w:bCs/>
                <w:color w:val="000000"/>
                <w:sz w:val="20"/>
                <w:szCs w:val="20"/>
              </w:rPr>
            </w:pPr>
          </w:p>
        </w:tc>
      </w:tr>
      <w:tr w:rsidR="003D00C1" w:rsidTr="003D00C1">
        <w:trPr>
          <w:trHeight w:val="28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12101</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 xml:space="preserve">DIRECCIÓN GENERAL </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921,342.00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698,088.03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12100</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DIRECCIÓN DE ASUNTOS Y SERVICIOS JURÍDICOS</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553,251.00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419,011.90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12102</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DIRECCIÓN DE COMUNICACIÓN Y MEDIOS</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995,378.00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754,089.68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12103</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DIRECCIÓN DE ADMINISTRACIÓN Y FINANZAS</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2,865,660.00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2,142,284.04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18842</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DIRECCIÓN DE PRODUCCIÓN Y OPERACIÓN ARTÍSTICA</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665,285.00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467,867.89 </w:t>
            </w:r>
          </w:p>
        </w:tc>
      </w:tr>
      <w:tr w:rsidR="003D00C1" w:rsidTr="003D00C1">
        <w:trPr>
          <w:trHeight w:val="28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19558</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DIRECCIÓN ARTÍSTICA</w:t>
            </w:r>
          </w:p>
        </w:tc>
        <w:tc>
          <w:tcPr>
            <w:tcW w:w="274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19,935,123.00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14,796,206.17 </w:t>
            </w:r>
          </w:p>
        </w:tc>
      </w:tr>
      <w:tr w:rsidR="003D00C1" w:rsidTr="003D00C1">
        <w:trPr>
          <w:trHeight w:val="792"/>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12105</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PRESENTACIONES DE LA ORQUESTA SINFÓNICA DE YUCATÁN (OSY)</w:t>
            </w:r>
          </w:p>
        </w:tc>
        <w:tc>
          <w:tcPr>
            <w:tcW w:w="2740" w:type="dxa"/>
            <w:tcBorders>
              <w:top w:val="nil"/>
              <w:left w:val="nil"/>
              <w:bottom w:val="single" w:sz="4" w:space="0" w:color="auto"/>
              <w:right w:val="single" w:sz="4" w:space="0" w:color="auto"/>
            </w:tcBorders>
            <w:shd w:val="clear" w:color="auto" w:fill="auto"/>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1,612,106.57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1,334,840.29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12108</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GASTOS ADMINISTRATIVOS DEL FIGAROSY</w:t>
            </w:r>
          </w:p>
        </w:tc>
        <w:tc>
          <w:tcPr>
            <w:tcW w:w="2740" w:type="dxa"/>
            <w:tcBorders>
              <w:top w:val="nil"/>
              <w:left w:val="nil"/>
              <w:bottom w:val="single" w:sz="4" w:space="0" w:color="auto"/>
              <w:right w:val="single" w:sz="4" w:space="0" w:color="auto"/>
            </w:tcBorders>
            <w:shd w:val="clear" w:color="auto" w:fill="auto"/>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506,377.43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406,377.43 </w:t>
            </w:r>
          </w:p>
        </w:tc>
      </w:tr>
      <w:tr w:rsidR="003D00C1"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13936</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ADMINISTRACIÓN DE RECURSOS HUMANOS</w:t>
            </w:r>
          </w:p>
        </w:tc>
        <w:tc>
          <w:tcPr>
            <w:tcW w:w="2740" w:type="dxa"/>
            <w:tcBorders>
              <w:top w:val="nil"/>
              <w:left w:val="nil"/>
              <w:bottom w:val="single" w:sz="4" w:space="0" w:color="auto"/>
              <w:right w:val="single" w:sz="4" w:space="0" w:color="auto"/>
            </w:tcBorders>
            <w:shd w:val="clear" w:color="auto" w:fill="auto"/>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56,200.00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35,540.36 </w:t>
            </w:r>
          </w:p>
        </w:tc>
      </w:tr>
      <w:tr w:rsidR="003D00C1" w:rsidTr="003D00C1">
        <w:trPr>
          <w:trHeight w:val="792"/>
        </w:trPr>
        <w:tc>
          <w:tcPr>
            <w:tcW w:w="837" w:type="dxa"/>
            <w:tcBorders>
              <w:top w:val="nil"/>
              <w:left w:val="single" w:sz="4" w:space="0" w:color="auto"/>
              <w:bottom w:val="single" w:sz="4" w:space="0" w:color="auto"/>
              <w:right w:val="single" w:sz="4" w:space="0" w:color="auto"/>
            </w:tcBorders>
            <w:shd w:val="clear" w:color="000000" w:fill="FFFFFF"/>
            <w:noWrap/>
            <w:hideMark/>
          </w:tcPr>
          <w:p w:rsidR="003D00C1" w:rsidRDefault="003D00C1">
            <w:pPr>
              <w:jc w:val="center"/>
              <w:rPr>
                <w:rFonts w:ascii="Arial" w:hAnsi="Arial" w:cs="Arial"/>
                <w:color w:val="000000"/>
                <w:sz w:val="20"/>
                <w:szCs w:val="20"/>
              </w:rPr>
            </w:pPr>
            <w:r>
              <w:rPr>
                <w:rFonts w:ascii="Arial" w:hAnsi="Arial" w:cs="Arial"/>
                <w:color w:val="000000"/>
                <w:sz w:val="20"/>
                <w:szCs w:val="20"/>
              </w:rPr>
              <w:t>13937</w:t>
            </w:r>
          </w:p>
        </w:tc>
        <w:tc>
          <w:tcPr>
            <w:tcW w:w="3663" w:type="dxa"/>
            <w:tcBorders>
              <w:top w:val="nil"/>
              <w:left w:val="nil"/>
              <w:bottom w:val="single" w:sz="4" w:space="0" w:color="auto"/>
              <w:right w:val="single" w:sz="4" w:space="0" w:color="auto"/>
            </w:tcBorders>
            <w:shd w:val="clear" w:color="000000" w:fill="FFFFFF"/>
            <w:hideMark/>
          </w:tcPr>
          <w:p w:rsidR="003D00C1" w:rsidRDefault="003D00C1">
            <w:pPr>
              <w:rPr>
                <w:rFonts w:ascii="Arial" w:hAnsi="Arial" w:cs="Arial"/>
                <w:color w:val="000000"/>
                <w:sz w:val="20"/>
                <w:szCs w:val="20"/>
              </w:rPr>
            </w:pPr>
            <w:r>
              <w:rPr>
                <w:rFonts w:ascii="Arial" w:hAnsi="Arial" w:cs="Arial"/>
                <w:color w:val="000000"/>
                <w:sz w:val="20"/>
                <w:szCs w:val="20"/>
              </w:rPr>
              <w:t>ADMINISTRACIÓN DE RECURSOS FINANCIEROS Y MATERIALES</w:t>
            </w:r>
          </w:p>
        </w:tc>
        <w:tc>
          <w:tcPr>
            <w:tcW w:w="2740" w:type="dxa"/>
            <w:tcBorders>
              <w:top w:val="nil"/>
              <w:left w:val="nil"/>
              <w:bottom w:val="single" w:sz="4" w:space="0" w:color="auto"/>
              <w:right w:val="single" w:sz="4" w:space="0" w:color="auto"/>
            </w:tcBorders>
            <w:shd w:val="clear" w:color="auto" w:fill="auto"/>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1,547,820.00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color w:val="000000"/>
                <w:sz w:val="20"/>
                <w:szCs w:val="20"/>
              </w:rPr>
            </w:pPr>
            <w:r>
              <w:rPr>
                <w:rFonts w:ascii="Arial" w:hAnsi="Arial" w:cs="Arial"/>
                <w:color w:val="000000"/>
                <w:sz w:val="20"/>
                <w:szCs w:val="20"/>
              </w:rPr>
              <w:t xml:space="preserve"> $                           1,072,107.69 </w:t>
            </w:r>
          </w:p>
        </w:tc>
      </w:tr>
      <w:tr w:rsidR="003D00C1" w:rsidTr="003D00C1">
        <w:trPr>
          <w:trHeight w:val="288"/>
        </w:trPr>
        <w:tc>
          <w:tcPr>
            <w:tcW w:w="837" w:type="dxa"/>
            <w:tcBorders>
              <w:top w:val="nil"/>
              <w:left w:val="single" w:sz="4" w:space="0" w:color="auto"/>
              <w:bottom w:val="single" w:sz="4" w:space="0" w:color="auto"/>
              <w:right w:val="nil"/>
            </w:tcBorders>
            <w:shd w:val="clear" w:color="000000" w:fill="FFFFFF"/>
            <w:noWrap/>
            <w:vAlign w:val="bottom"/>
            <w:hideMark/>
          </w:tcPr>
          <w:p w:rsidR="003D00C1" w:rsidRDefault="003D00C1">
            <w:pPr>
              <w:jc w:val="center"/>
              <w:rPr>
                <w:rFonts w:ascii="Arial" w:hAnsi="Arial" w:cs="Arial"/>
                <w:color w:val="000000"/>
                <w:sz w:val="20"/>
                <w:szCs w:val="20"/>
              </w:rPr>
            </w:pPr>
            <w:r>
              <w:rPr>
                <w:rFonts w:ascii="Arial" w:hAnsi="Arial" w:cs="Arial"/>
                <w:color w:val="000000"/>
                <w:sz w:val="20"/>
                <w:szCs w:val="20"/>
              </w:rPr>
              <w:t> </w:t>
            </w:r>
          </w:p>
        </w:tc>
        <w:tc>
          <w:tcPr>
            <w:tcW w:w="3663" w:type="dxa"/>
            <w:tcBorders>
              <w:top w:val="nil"/>
              <w:left w:val="nil"/>
              <w:bottom w:val="single" w:sz="4" w:space="0" w:color="auto"/>
              <w:right w:val="nil"/>
            </w:tcBorders>
            <w:shd w:val="clear" w:color="000000" w:fill="FFFFFF"/>
            <w:noWrap/>
            <w:vAlign w:val="bottom"/>
            <w:hideMark/>
          </w:tcPr>
          <w:p w:rsidR="003D00C1" w:rsidRDefault="003D00C1">
            <w:pPr>
              <w:jc w:val="right"/>
              <w:rPr>
                <w:rFonts w:ascii="Arial" w:hAnsi="Arial" w:cs="Arial"/>
                <w:b/>
                <w:bCs/>
                <w:color w:val="000000"/>
                <w:sz w:val="20"/>
                <w:szCs w:val="20"/>
              </w:rPr>
            </w:pPr>
            <w:r>
              <w:rPr>
                <w:rFonts w:ascii="Arial" w:hAnsi="Arial" w:cs="Arial"/>
                <w:b/>
                <w:bCs/>
                <w:color w:val="000000"/>
                <w:sz w:val="20"/>
                <w:szCs w:val="20"/>
              </w:rPr>
              <w:t>Suma</w:t>
            </w:r>
          </w:p>
        </w:tc>
        <w:tc>
          <w:tcPr>
            <w:tcW w:w="2740" w:type="dxa"/>
            <w:tcBorders>
              <w:top w:val="nil"/>
              <w:left w:val="single" w:sz="4" w:space="0" w:color="auto"/>
              <w:bottom w:val="single" w:sz="4" w:space="0" w:color="auto"/>
              <w:right w:val="single" w:sz="4" w:space="0" w:color="auto"/>
            </w:tcBorders>
            <w:shd w:val="clear" w:color="000000" w:fill="FFFFFF"/>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                   29,658,543.00 </w:t>
            </w:r>
          </w:p>
        </w:tc>
        <w:tc>
          <w:tcPr>
            <w:tcW w:w="3100" w:type="dxa"/>
            <w:tcBorders>
              <w:top w:val="nil"/>
              <w:left w:val="nil"/>
              <w:bottom w:val="single" w:sz="4" w:space="0" w:color="auto"/>
              <w:right w:val="single" w:sz="4" w:space="0" w:color="auto"/>
            </w:tcBorders>
            <w:shd w:val="clear" w:color="000000" w:fill="FFFFFF"/>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                         22,126,413.48 </w:t>
            </w:r>
          </w:p>
        </w:tc>
      </w:tr>
    </w:tbl>
    <w:p w:rsidR="003D00C1" w:rsidRDefault="003D00C1"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bookmarkEnd w:id="0"/>
      <w:bookmarkEnd w:id="1"/>
      <w:bookmarkEnd w:id="2"/>
      <w:r w:rsidR="00FD57CF">
        <w:rPr>
          <w:rFonts w:ascii="Arial" w:hAnsi="Arial" w:cs="Arial"/>
          <w:sz w:val="20"/>
          <w:szCs w:val="20"/>
        </w:rPr>
        <w:t>al 31 de Octubre 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Pr>
          <w:rFonts w:ascii="Arial" w:hAnsi="Arial" w:cs="Arial"/>
          <w:sz w:val="20"/>
          <w:szCs w:val="20"/>
        </w:rPr>
        <w:t xml:space="preserve"> Septiembre-Diciembre</w:t>
      </w:r>
      <w:r w:rsidR="002A7404">
        <w:rPr>
          <w:rFonts w:ascii="Arial" w:hAnsi="Arial" w:cs="Arial"/>
          <w:sz w:val="20"/>
          <w:szCs w:val="20"/>
        </w:rPr>
        <w:t xml:space="preserve"> </w:t>
      </w:r>
      <w:r w:rsidR="00C52478">
        <w:rPr>
          <w:rFonts w:ascii="Arial" w:hAnsi="Arial" w:cs="Arial"/>
          <w:sz w:val="20"/>
          <w:szCs w:val="20"/>
        </w:rPr>
        <w:t>2021</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w:t>
      </w:r>
      <w:r>
        <w:rPr>
          <w:rFonts w:ascii="Arial" w:hAnsi="Arial" w:cs="Arial"/>
          <w:sz w:val="20"/>
          <w:szCs w:val="20"/>
        </w:rPr>
        <w:lastRenderedPageBreak/>
        <w:t>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FD57CF">
        <w:rPr>
          <w:rFonts w:ascii="Arial" w:hAnsi="Arial" w:cs="Arial"/>
          <w:sz w:val="20"/>
          <w:szCs w:val="20"/>
        </w:rPr>
        <w:t>al 31 de Octubre 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F952B9" w:rsidP="00F952B9">
            <w:pPr>
              <w:jc w:val="center"/>
              <w:rPr>
                <w:rFonts w:ascii="Arial" w:hAnsi="Arial" w:cs="Arial"/>
                <w:sz w:val="20"/>
                <w:szCs w:val="20"/>
              </w:rPr>
            </w:pPr>
            <w:r>
              <w:rPr>
                <w:rFonts w:ascii="Arial" w:hAnsi="Arial" w:cs="Arial"/>
                <w:sz w:val="20"/>
                <w:szCs w:val="20"/>
              </w:rPr>
              <w:t>232</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se erogó la cantidad de $</w:t>
      </w:r>
      <w:r w:rsidR="00CC467F">
        <w:rPr>
          <w:rFonts w:ascii="Arial" w:hAnsi="Arial" w:cs="Arial"/>
          <w:sz w:val="20"/>
          <w:szCs w:val="20"/>
        </w:rPr>
        <w:t>1,334,840.29</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Pr="00B0794A">
        <w:rPr>
          <w:rFonts w:ascii="Arial" w:hAnsi="Arial" w:cs="Arial"/>
          <w:sz w:val="20"/>
          <w:szCs w:val="20"/>
        </w:rPr>
        <w:t xml:space="preserve"> Enero-Junio</w:t>
      </w:r>
      <w:r w:rsidR="00A3760A">
        <w:rPr>
          <w:rFonts w:ascii="Arial" w:hAnsi="Arial" w:cs="Arial"/>
          <w:sz w:val="20"/>
          <w:szCs w:val="20"/>
        </w:rPr>
        <w:t xml:space="preserve"> </w:t>
      </w:r>
      <w:r w:rsidR="00B04B3D">
        <w:rPr>
          <w:rFonts w:ascii="Arial" w:hAnsi="Arial" w:cs="Arial"/>
          <w:sz w:val="20"/>
          <w:szCs w:val="20"/>
        </w:rPr>
        <w:t xml:space="preserve">y </w:t>
      </w:r>
      <w:r w:rsidR="00CC467F">
        <w:rPr>
          <w:rFonts w:ascii="Arial" w:hAnsi="Arial" w:cs="Arial"/>
          <w:sz w:val="20"/>
          <w:szCs w:val="20"/>
        </w:rPr>
        <w:t>1</w:t>
      </w:r>
      <w:r w:rsidR="00B04B3D">
        <w:rPr>
          <w:rFonts w:ascii="Arial" w:hAnsi="Arial" w:cs="Arial"/>
          <w:sz w:val="20"/>
          <w:szCs w:val="20"/>
        </w:rPr>
        <w:t xml:space="preserve">2 conciertos presenciales de la temporada XXXVI Septiembre-Diciembre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CC467F">
        <w:rPr>
          <w:rFonts w:ascii="Arial" w:hAnsi="Arial" w:cs="Arial"/>
          <w:sz w:val="20"/>
          <w:szCs w:val="20"/>
        </w:rPr>
        <w:t>8,836</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CC467F">
        <w:rPr>
          <w:rFonts w:ascii="Arial" w:hAnsi="Arial" w:cs="Arial"/>
          <w:sz w:val="20"/>
          <w:szCs w:val="20"/>
        </w:rPr>
        <w:t>232</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lastRenderedPageBreak/>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w:t>
      </w:r>
      <w:r w:rsidR="00FD57CF">
        <w:rPr>
          <w:rFonts w:ascii="Arial" w:hAnsi="Arial" w:cs="Arial"/>
          <w:sz w:val="20"/>
          <w:szCs w:val="20"/>
        </w:rPr>
        <w:t>al 31 de Octubre 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D268EE">
            <w:pPr>
              <w:tabs>
                <w:tab w:val="left" w:pos="285"/>
                <w:tab w:val="center" w:pos="538"/>
              </w:tabs>
              <w:rPr>
                <w:rFonts w:ascii="Arial" w:hAnsi="Arial" w:cs="Arial"/>
                <w:sz w:val="20"/>
                <w:szCs w:val="20"/>
              </w:rPr>
            </w:pPr>
            <w:r>
              <w:rPr>
                <w:rFonts w:ascii="Arial" w:hAnsi="Arial" w:cs="Arial"/>
                <w:sz w:val="20"/>
                <w:szCs w:val="20"/>
              </w:rPr>
              <w:tab/>
              <w:t>80</w:t>
            </w:r>
            <w:r w:rsidR="00D509AB" w:rsidRPr="00D268EE">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Enero </w:t>
      </w:r>
      <w:r w:rsidR="00FD57CF">
        <w:rPr>
          <w:rFonts w:ascii="Arial" w:hAnsi="Arial" w:cs="Arial"/>
          <w:sz w:val="20"/>
          <w:szCs w:val="20"/>
        </w:rPr>
        <w:t>al 31 de Octubre de 2021</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3D00C1">
        <w:rPr>
          <w:rFonts w:ascii="Arial" w:hAnsi="Arial" w:cs="Arial"/>
          <w:sz w:val="20"/>
          <w:szCs w:val="20"/>
        </w:rPr>
        <w:t>406,377.43</w:t>
      </w:r>
      <w:r w:rsidR="00B0794A" w:rsidRPr="00D268EE">
        <w:rPr>
          <w:rFonts w:ascii="Arial" w:hAnsi="Arial" w:cs="Arial"/>
          <w:sz w:val="20"/>
          <w:szCs w:val="20"/>
        </w:rPr>
        <w:t xml:space="preserve"> que equivale</w:t>
      </w:r>
      <w:r w:rsidR="005736D7" w:rsidRPr="00D268EE">
        <w:rPr>
          <w:rFonts w:ascii="Arial" w:hAnsi="Arial" w:cs="Arial"/>
          <w:sz w:val="20"/>
          <w:szCs w:val="20"/>
        </w:rPr>
        <w:t xml:space="preserve"> el </w:t>
      </w:r>
      <w:r w:rsidR="003D00C1">
        <w:rPr>
          <w:rFonts w:ascii="Arial" w:hAnsi="Arial" w:cs="Arial"/>
          <w:sz w:val="20"/>
          <w:szCs w:val="20"/>
        </w:rPr>
        <w:t>80</w:t>
      </w:r>
      <w:r w:rsidRPr="00D268EE">
        <w:rPr>
          <w:rFonts w:ascii="Arial" w:hAnsi="Arial" w:cs="Arial"/>
          <w:sz w:val="20"/>
          <w:szCs w:val="20"/>
        </w:rPr>
        <w:t>% respecto al total de presupuesto aprobado para el FIGAROSY del capí</w:t>
      </w:r>
      <w:r w:rsidR="00B0794A" w:rsidRPr="00D268EE">
        <w:rPr>
          <w:rFonts w:ascii="Arial" w:hAnsi="Arial" w:cs="Arial"/>
          <w:sz w:val="20"/>
          <w:szCs w:val="20"/>
        </w:rPr>
        <w:t>tulo 3000 (Servicios Generales),</w:t>
      </w:r>
      <w:r w:rsidR="00B0794A">
        <w:rPr>
          <w:rFonts w:ascii="Arial" w:hAnsi="Arial" w:cs="Arial"/>
          <w:sz w:val="20"/>
          <w:szCs w:val="20"/>
        </w:rPr>
        <w:t xml:space="preserve"> </w:t>
      </w:r>
      <w:r w:rsidR="003D00C1" w:rsidRPr="008A638B">
        <w:rPr>
          <w:rFonts w:ascii="Arial" w:hAnsi="Arial" w:cs="Arial"/>
          <w:sz w:val="20"/>
          <w:szCs w:val="20"/>
        </w:rPr>
        <w:t xml:space="preserve">quedando pendiente de ejercer la cantidad $ </w:t>
      </w:r>
      <w:r w:rsidR="003D00C1">
        <w:rPr>
          <w:rFonts w:ascii="Arial" w:hAnsi="Arial" w:cs="Arial"/>
          <w:sz w:val="20"/>
          <w:szCs w:val="20"/>
        </w:rPr>
        <w:t>100,000.00</w:t>
      </w:r>
      <w:r w:rsidR="003D00C1" w:rsidRPr="008A638B">
        <w:rPr>
          <w:rFonts w:ascii="Arial" w:hAnsi="Arial" w:cs="Arial"/>
          <w:sz w:val="20"/>
          <w:szCs w:val="20"/>
        </w:rPr>
        <w:t>.</w:t>
      </w:r>
    </w:p>
    <w:p w:rsidR="003D00C1" w:rsidRPr="00EB3D10" w:rsidRDefault="003D00C1"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lastRenderedPageBreak/>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w:t>
      </w:r>
      <w:r w:rsidR="00FD57CF">
        <w:rPr>
          <w:rFonts w:ascii="Arial" w:hAnsi="Arial" w:cs="Arial"/>
          <w:sz w:val="20"/>
          <w:szCs w:val="20"/>
        </w:rPr>
        <w:t>al 31 de Octubre de 2021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1758A8" w:rsidP="0077425E">
            <w:pPr>
              <w:jc w:val="center"/>
              <w:rPr>
                <w:rFonts w:ascii="Arial" w:hAnsi="Arial" w:cs="Arial"/>
                <w:sz w:val="20"/>
                <w:szCs w:val="20"/>
              </w:rPr>
            </w:pPr>
            <w:r>
              <w:rPr>
                <w:rFonts w:ascii="Arial" w:hAnsi="Arial" w:cs="Arial"/>
                <w:sz w:val="20"/>
                <w:szCs w:val="20"/>
              </w:rPr>
              <w:t>75</w:t>
            </w:r>
            <w:r w:rsidR="00D509AB" w:rsidRPr="00D509AB">
              <w:rPr>
                <w:rFonts w:ascii="Arial" w:hAnsi="Arial" w:cs="Arial"/>
                <w:sz w:val="20"/>
                <w:szCs w:val="20"/>
              </w:rPr>
              <w:t>%</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Enero </w:t>
      </w:r>
      <w:r w:rsidR="00FD57CF">
        <w:rPr>
          <w:rFonts w:ascii="Arial" w:hAnsi="Arial" w:cs="Arial"/>
          <w:sz w:val="20"/>
          <w:szCs w:val="20"/>
        </w:rPr>
        <w:t>al 31 de Octubre de 2021</w:t>
      </w:r>
      <w:r w:rsidRPr="008A638B">
        <w:rPr>
          <w:rFonts w:ascii="Arial" w:hAnsi="Arial" w:cs="Arial"/>
          <w:sz w:val="20"/>
          <w:szCs w:val="20"/>
        </w:rPr>
        <w:t xml:space="preserve"> se capacitó el </w:t>
      </w:r>
      <w:r w:rsidR="001758A8">
        <w:rPr>
          <w:rFonts w:ascii="Arial" w:hAnsi="Arial" w:cs="Arial"/>
          <w:sz w:val="20"/>
          <w:szCs w:val="20"/>
        </w:rPr>
        <w:t>75</w:t>
      </w:r>
      <w:r w:rsidR="00924CF4" w:rsidRPr="008A638B">
        <w:rPr>
          <w:rFonts w:ascii="Arial" w:hAnsi="Arial" w:cs="Arial"/>
          <w:sz w:val="20"/>
          <w:szCs w:val="20"/>
        </w:rPr>
        <w:t xml:space="preserve"> </w:t>
      </w:r>
      <w:r w:rsidRPr="008A638B">
        <w:rPr>
          <w:rFonts w:ascii="Arial" w:hAnsi="Arial" w:cs="Arial"/>
          <w:sz w:val="20"/>
          <w:szCs w:val="20"/>
        </w:rPr>
        <w:t>% respecto al total del personal</w:t>
      </w:r>
      <w:r w:rsidR="00F25F81" w:rsidRPr="008A638B">
        <w:rPr>
          <w:rFonts w:ascii="Arial" w:hAnsi="Arial" w:cs="Arial"/>
          <w:sz w:val="20"/>
          <w:szCs w:val="20"/>
        </w:rPr>
        <w:t xml:space="preserve"> administrativo</w:t>
      </w:r>
      <w:r w:rsidR="00C00E96" w:rsidRPr="008A638B">
        <w:rPr>
          <w:rFonts w:ascii="Arial" w:hAnsi="Arial" w:cs="Arial"/>
          <w:sz w:val="20"/>
          <w:szCs w:val="20"/>
        </w:rPr>
        <w:t xml:space="preserve"> adscrito al FIGAROSY,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 xml:space="preserve">$ </w:t>
      </w:r>
      <w:r w:rsidR="0077425E">
        <w:rPr>
          <w:rFonts w:ascii="Arial" w:hAnsi="Arial" w:cs="Arial"/>
          <w:sz w:val="20"/>
          <w:szCs w:val="20"/>
        </w:rPr>
        <w:t>3</w:t>
      </w:r>
      <w:r w:rsidR="001758A8">
        <w:rPr>
          <w:rFonts w:ascii="Arial" w:hAnsi="Arial" w:cs="Arial"/>
          <w:sz w:val="20"/>
          <w:szCs w:val="20"/>
        </w:rPr>
        <w:t>5</w:t>
      </w:r>
      <w:r w:rsidR="0077425E">
        <w:rPr>
          <w:rFonts w:ascii="Arial" w:hAnsi="Arial" w:cs="Arial"/>
          <w:sz w:val="20"/>
          <w:szCs w:val="20"/>
        </w:rPr>
        <w:t>,</w:t>
      </w:r>
      <w:r w:rsidR="001758A8">
        <w:rPr>
          <w:rFonts w:ascii="Arial" w:hAnsi="Arial" w:cs="Arial"/>
          <w:sz w:val="20"/>
          <w:szCs w:val="20"/>
        </w:rPr>
        <w:t>540.36</w:t>
      </w:r>
      <w:r w:rsidR="00C00E96" w:rsidRPr="008A638B">
        <w:rPr>
          <w:rFonts w:ascii="Arial" w:hAnsi="Arial" w:cs="Arial"/>
          <w:sz w:val="20"/>
          <w:szCs w:val="20"/>
        </w:rPr>
        <w:t xml:space="preserve">, quedando pendiente de ejercer la cantidad $ </w:t>
      </w:r>
      <w:r w:rsidR="0077425E">
        <w:rPr>
          <w:rFonts w:ascii="Arial" w:hAnsi="Arial" w:cs="Arial"/>
          <w:sz w:val="20"/>
          <w:szCs w:val="20"/>
        </w:rPr>
        <w:t>2</w:t>
      </w:r>
      <w:r w:rsidR="001758A8">
        <w:rPr>
          <w:rFonts w:ascii="Arial" w:hAnsi="Arial" w:cs="Arial"/>
          <w:sz w:val="20"/>
          <w:szCs w:val="20"/>
        </w:rPr>
        <w:t>0</w:t>
      </w:r>
      <w:r w:rsidR="0077425E">
        <w:rPr>
          <w:rFonts w:ascii="Arial" w:hAnsi="Arial" w:cs="Arial"/>
          <w:sz w:val="20"/>
          <w:szCs w:val="20"/>
        </w:rPr>
        <w:t>,</w:t>
      </w:r>
      <w:r w:rsidR="001758A8">
        <w:rPr>
          <w:rFonts w:ascii="Arial" w:hAnsi="Arial" w:cs="Arial"/>
          <w:sz w:val="20"/>
          <w:szCs w:val="20"/>
        </w:rPr>
        <w:t>659</w:t>
      </w:r>
      <w:r w:rsidR="0077425E">
        <w:rPr>
          <w:rFonts w:ascii="Arial" w:hAnsi="Arial" w:cs="Arial"/>
          <w:sz w:val="20"/>
          <w:szCs w:val="20"/>
        </w:rPr>
        <w:t>.</w:t>
      </w:r>
      <w:r w:rsidR="001758A8">
        <w:rPr>
          <w:rFonts w:ascii="Arial" w:hAnsi="Arial" w:cs="Arial"/>
          <w:sz w:val="20"/>
          <w:szCs w:val="20"/>
        </w:rPr>
        <w:t>6</w:t>
      </w:r>
      <w:r w:rsidR="0077425E">
        <w:rPr>
          <w:rFonts w:ascii="Arial" w:hAnsi="Arial" w:cs="Arial"/>
          <w:sz w:val="20"/>
          <w:szCs w:val="20"/>
        </w:rPr>
        <w:t>4</w:t>
      </w:r>
      <w:r w:rsidR="00C00E96" w:rsidRPr="008A638B">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w:t>
      </w:r>
      <w:r w:rsidR="00FD57CF">
        <w:rPr>
          <w:rFonts w:ascii="Arial" w:hAnsi="Arial" w:cs="Arial"/>
          <w:sz w:val="20"/>
          <w:szCs w:val="20"/>
        </w:rPr>
        <w:t>al 31 de Octubre 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604555" w:rsidP="00843D2F">
            <w:pPr>
              <w:jc w:val="center"/>
              <w:rPr>
                <w:rFonts w:ascii="Arial" w:hAnsi="Arial" w:cs="Arial"/>
                <w:sz w:val="20"/>
                <w:szCs w:val="20"/>
              </w:rPr>
            </w:pPr>
            <w:r>
              <w:rPr>
                <w:rFonts w:ascii="Arial" w:hAnsi="Arial" w:cs="Arial"/>
                <w:sz w:val="20"/>
                <w:szCs w:val="20"/>
              </w:rPr>
              <w:t>69</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1758A8" w:rsidRDefault="00D509AB" w:rsidP="00D509AB">
      <w:pPr>
        <w:spacing w:line="360" w:lineRule="auto"/>
        <w:jc w:val="both"/>
        <w:rPr>
          <w:rFonts w:ascii="Arial" w:hAnsi="Arial" w:cs="Arial"/>
          <w:sz w:val="20"/>
          <w:szCs w:val="20"/>
        </w:rPr>
      </w:pPr>
      <w:bookmarkStart w:id="3" w:name="_GoBack"/>
      <w:bookmarkEnd w:id="3"/>
      <w:r w:rsidRPr="00D509AB">
        <w:rPr>
          <w:rFonts w:ascii="Arial" w:hAnsi="Arial" w:cs="Arial"/>
          <w:sz w:val="20"/>
          <w:szCs w:val="20"/>
        </w:rPr>
        <w:t xml:space="preserve">Durante el período del </w:t>
      </w:r>
      <w:r w:rsidR="00C377F3">
        <w:rPr>
          <w:rFonts w:ascii="Arial" w:hAnsi="Arial" w:cs="Arial"/>
          <w:sz w:val="20"/>
          <w:szCs w:val="20"/>
        </w:rPr>
        <w:t xml:space="preserve">1 de Enero </w:t>
      </w:r>
      <w:r w:rsidR="00FD57CF">
        <w:rPr>
          <w:rFonts w:ascii="Arial" w:hAnsi="Arial" w:cs="Arial"/>
          <w:sz w:val="20"/>
          <w:szCs w:val="20"/>
        </w:rPr>
        <w:t>al 31 de Octubre 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3D00C1">
        <w:rPr>
          <w:rFonts w:ascii="Arial" w:hAnsi="Arial" w:cs="Arial"/>
          <w:sz w:val="20"/>
          <w:szCs w:val="20"/>
        </w:rPr>
        <w:t>1,072,107.69</w:t>
      </w:r>
      <w:r w:rsidR="00C00E96">
        <w:rPr>
          <w:rFonts w:ascii="Arial" w:hAnsi="Arial" w:cs="Arial"/>
          <w:sz w:val="20"/>
          <w:szCs w:val="20"/>
        </w:rPr>
        <w:t xml:space="preserve"> que equivale</w:t>
      </w:r>
      <w:r w:rsidR="00D105C3">
        <w:rPr>
          <w:rFonts w:ascii="Arial" w:hAnsi="Arial" w:cs="Arial"/>
          <w:sz w:val="20"/>
          <w:szCs w:val="20"/>
        </w:rPr>
        <w:t xml:space="preserve"> el </w:t>
      </w:r>
      <w:r w:rsidR="00604555">
        <w:rPr>
          <w:rFonts w:ascii="Arial" w:hAnsi="Arial" w:cs="Arial"/>
          <w:sz w:val="20"/>
          <w:szCs w:val="20"/>
        </w:rPr>
        <w:t>69</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rales) y Adquisición de Activos, quedando pend</w:t>
      </w:r>
      <w:r w:rsidR="001758A8">
        <w:rPr>
          <w:rFonts w:ascii="Arial" w:hAnsi="Arial" w:cs="Arial"/>
          <w:sz w:val="20"/>
          <w:szCs w:val="20"/>
        </w:rPr>
        <w:t xml:space="preserve">iente de ejercer la cantidad de </w:t>
      </w:r>
      <w:r w:rsidR="00C00E96">
        <w:rPr>
          <w:rFonts w:ascii="Arial" w:hAnsi="Arial" w:cs="Arial"/>
          <w:sz w:val="20"/>
          <w:szCs w:val="20"/>
        </w:rPr>
        <w:t>$</w:t>
      </w:r>
      <w:r w:rsidR="00604555">
        <w:rPr>
          <w:rFonts w:ascii="Arial" w:hAnsi="Arial" w:cs="Arial"/>
          <w:sz w:val="20"/>
          <w:szCs w:val="20"/>
        </w:rPr>
        <w:t>475,712.31</w:t>
      </w:r>
      <w:r w:rsidR="001758A8">
        <w:rPr>
          <w:rFonts w:ascii="Arial" w:hAnsi="Arial" w:cs="Arial"/>
          <w:sz w:val="20"/>
          <w:szCs w:val="20"/>
        </w:rPr>
        <w:t>.</w:t>
      </w:r>
    </w:p>
    <w:p w:rsidR="00D509AB" w:rsidRPr="00D509AB" w:rsidRDefault="00C00E96" w:rsidP="00D509AB">
      <w:pPr>
        <w:spacing w:line="360" w:lineRule="auto"/>
        <w:jc w:val="both"/>
        <w:rPr>
          <w:rFonts w:ascii="Arial" w:hAnsi="Arial" w:cs="Arial"/>
          <w:sz w:val="20"/>
          <w:szCs w:val="20"/>
        </w:rPr>
      </w:pPr>
      <w:r>
        <w:rPr>
          <w:rFonts w:ascii="Arial" w:hAnsi="Arial" w:cs="Arial"/>
          <w:sz w:val="20"/>
          <w:szCs w:val="20"/>
        </w:rPr>
        <w:t>.</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8"/>
      <w:footerReference w:type="even" r:id="rId9"/>
      <w:footerReference w:type="default" r:id="rId10"/>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2848" behindDoc="1" locked="0" layoutInCell="1" allowOverlap="1" wp14:anchorId="76889390" wp14:editId="7091F42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res de Resultados al 3</w:t>
    </w:r>
    <w:r w:rsidR="00FD57CF">
      <w:rPr>
        <w:rFonts w:asciiTheme="minorHAnsi" w:hAnsiTheme="minorHAnsi"/>
        <w:b/>
        <w:sz w:val="22"/>
        <w:szCs w:val="22"/>
        <w:lang w:val="es-ES"/>
      </w:rPr>
      <w:t>1</w:t>
    </w:r>
    <w:r w:rsidR="00F52E95">
      <w:rPr>
        <w:rFonts w:asciiTheme="minorHAnsi" w:hAnsiTheme="minorHAnsi"/>
        <w:b/>
        <w:sz w:val="22"/>
        <w:szCs w:val="22"/>
        <w:lang w:val="es-ES"/>
      </w:rPr>
      <w:t xml:space="preserve"> de </w:t>
    </w:r>
    <w:r w:rsidR="00FD57CF">
      <w:rPr>
        <w:rFonts w:asciiTheme="minorHAnsi" w:hAnsiTheme="minorHAnsi"/>
        <w:b/>
        <w:sz w:val="22"/>
        <w:szCs w:val="22"/>
        <w:lang w:val="es-ES"/>
      </w:rPr>
      <w:t>Octubre</w:t>
    </w:r>
    <w:r>
      <w:rPr>
        <w:rFonts w:asciiTheme="minorHAnsi" w:hAnsiTheme="minorHAnsi"/>
        <w:b/>
        <w:sz w:val="22"/>
        <w:szCs w:val="22"/>
        <w:lang w:val="es-ES"/>
      </w:rPr>
      <w:t xml:space="preserve"> de 2021</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07593C-6898-4B6B-A8E7-0D65F4A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8608-7357-4FBC-B14E-D3F65BE3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2035</Words>
  <Characters>11197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Cuenta Microsoft</cp:lastModifiedBy>
  <cp:revision>22</cp:revision>
  <cp:lastPrinted>2021-02-10T19:47:00Z</cp:lastPrinted>
  <dcterms:created xsi:type="dcterms:W3CDTF">2021-07-10T00:21:00Z</dcterms:created>
  <dcterms:modified xsi:type="dcterms:W3CDTF">2021-11-05T15:08:00Z</dcterms:modified>
</cp:coreProperties>
</file>