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bookmarkStart w:id="0" w:name="_GoBack"/>
      <w:bookmarkEnd w:id="0"/>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1" w:name="_MON_1502102391"/>
    <w:bookmarkEnd w:id="1"/>
    <w:p w:rsidR="00C00E96" w:rsidRDefault="009F0399"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266.1pt" o:ole="">
            <v:imagedata r:id="rId9" o:title=""/>
          </v:shape>
          <o:OLEObject Type="Embed" ProgID="Excel.Sheet.12" ShapeID="_x0000_i1025" DrawAspect="Content" ObjectID="_1679217776"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2" w:name="OLE_LINK1"/>
      <w:bookmarkStart w:id="3" w:name="OLE_LINK2"/>
      <w:bookmarkStart w:id="4"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A3760A">
        <w:rPr>
          <w:rFonts w:ascii="Arial" w:hAnsi="Arial" w:cs="Arial"/>
          <w:sz w:val="20"/>
          <w:szCs w:val="20"/>
        </w:rPr>
        <w:t>31</w:t>
      </w:r>
      <w:r w:rsidR="00387ED2">
        <w:rPr>
          <w:rFonts w:ascii="Arial" w:hAnsi="Arial" w:cs="Arial"/>
          <w:sz w:val="20"/>
          <w:szCs w:val="20"/>
        </w:rPr>
        <w:t xml:space="preserve"> </w:t>
      </w:r>
      <w:r w:rsidR="001D4773">
        <w:rPr>
          <w:rFonts w:ascii="Arial" w:hAnsi="Arial" w:cs="Arial"/>
          <w:sz w:val="20"/>
          <w:szCs w:val="20"/>
        </w:rPr>
        <w:t xml:space="preserve">de </w:t>
      </w:r>
      <w:r w:rsidR="00A3760A">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1D4773">
        <w:rPr>
          <w:rFonts w:ascii="Arial" w:hAnsi="Arial" w:cs="Arial"/>
          <w:sz w:val="20"/>
          <w:szCs w:val="20"/>
        </w:rPr>
        <w:t xml:space="preserve"> </w:t>
      </w:r>
      <w:bookmarkEnd w:id="2"/>
      <w:bookmarkEnd w:id="3"/>
      <w:bookmarkEnd w:id="4"/>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747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Pr>
          <w:rFonts w:ascii="Arial" w:hAnsi="Arial" w:cs="Arial"/>
          <w:sz w:val="20"/>
          <w:szCs w:val="20"/>
        </w:rPr>
        <w:t xml:space="preserve"> para el ejercicio 2020</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A3760A">
        <w:rPr>
          <w:rFonts w:ascii="Arial" w:hAnsi="Arial" w:cs="Arial"/>
          <w:sz w:val="20"/>
          <w:szCs w:val="20"/>
        </w:rPr>
        <w:t>de Enero al 31</w:t>
      </w:r>
      <w:r w:rsidR="00D73F84">
        <w:rPr>
          <w:rFonts w:ascii="Arial" w:hAnsi="Arial" w:cs="Arial"/>
          <w:sz w:val="20"/>
          <w:szCs w:val="20"/>
        </w:rPr>
        <w:t xml:space="preserve"> </w:t>
      </w:r>
      <w:r w:rsidR="00890EC0">
        <w:rPr>
          <w:rFonts w:ascii="Arial" w:hAnsi="Arial" w:cs="Arial"/>
          <w:sz w:val="20"/>
          <w:szCs w:val="20"/>
        </w:rPr>
        <w:t xml:space="preserve">de </w:t>
      </w:r>
      <w:r w:rsidR="00A3760A">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A3760A" w:rsidP="00D509AB">
            <w:pPr>
              <w:jc w:val="center"/>
              <w:rPr>
                <w:rFonts w:ascii="Arial" w:hAnsi="Arial" w:cs="Arial"/>
                <w:sz w:val="20"/>
                <w:szCs w:val="20"/>
              </w:rPr>
            </w:pPr>
            <w:r>
              <w:rPr>
                <w:rFonts w:ascii="Arial" w:hAnsi="Arial" w:cs="Arial"/>
                <w:sz w:val="20"/>
                <w:szCs w:val="20"/>
              </w:rPr>
              <w:t>77</w:t>
            </w:r>
            <w:r w:rsidR="0004353D">
              <w:rPr>
                <w:rFonts w:ascii="Arial" w:hAnsi="Arial" w:cs="Arial"/>
                <w:sz w:val="20"/>
                <w:szCs w:val="20"/>
              </w:rPr>
              <w:t>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A3760A">
        <w:rPr>
          <w:rFonts w:ascii="Arial" w:hAnsi="Arial" w:cs="Arial"/>
          <w:sz w:val="20"/>
          <w:szCs w:val="20"/>
        </w:rPr>
        <w:t>3,318,772</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A3760A">
        <w:rPr>
          <w:rFonts w:ascii="Arial" w:hAnsi="Arial" w:cs="Arial"/>
          <w:sz w:val="20"/>
          <w:szCs w:val="20"/>
        </w:rPr>
        <w:t>3</w:t>
      </w:r>
      <w:r w:rsidR="0004353D">
        <w:rPr>
          <w:rFonts w:ascii="Arial" w:hAnsi="Arial" w:cs="Arial"/>
          <w:sz w:val="20"/>
          <w:szCs w:val="20"/>
        </w:rPr>
        <w:t>0</w:t>
      </w:r>
      <w:r w:rsidRPr="00B0794A">
        <w:rPr>
          <w:rFonts w:ascii="Arial" w:hAnsi="Arial" w:cs="Arial"/>
          <w:sz w:val="20"/>
          <w:szCs w:val="20"/>
        </w:rPr>
        <w:t xml:space="preserve"> conciertos</w:t>
      </w:r>
      <w:r w:rsidR="00A3760A">
        <w:rPr>
          <w:rFonts w:ascii="Arial" w:hAnsi="Arial" w:cs="Arial"/>
          <w:sz w:val="20"/>
          <w:szCs w:val="20"/>
        </w:rPr>
        <w:t xml:space="preserve"> presenciales</w:t>
      </w:r>
      <w:r w:rsidRPr="00B0794A">
        <w:rPr>
          <w:rFonts w:ascii="Arial" w:hAnsi="Arial" w:cs="Arial"/>
          <w:sz w:val="20"/>
          <w:szCs w:val="20"/>
        </w:rPr>
        <w:t xml:space="preserve"> de las temporadas XXXI</w:t>
      </w:r>
      <w:r w:rsidR="00387ED2">
        <w:rPr>
          <w:rFonts w:ascii="Arial" w:hAnsi="Arial" w:cs="Arial"/>
          <w:sz w:val="20"/>
          <w:szCs w:val="20"/>
        </w:rPr>
        <w:t>II</w:t>
      </w:r>
      <w:r w:rsidRPr="00B0794A">
        <w:rPr>
          <w:rFonts w:ascii="Arial" w:hAnsi="Arial" w:cs="Arial"/>
          <w:sz w:val="20"/>
          <w:szCs w:val="20"/>
        </w:rPr>
        <w:t xml:space="preserve"> Enero-Junio</w:t>
      </w:r>
      <w:r w:rsidR="00A3760A">
        <w:rPr>
          <w:rFonts w:ascii="Arial" w:hAnsi="Arial" w:cs="Arial"/>
          <w:sz w:val="20"/>
          <w:szCs w:val="20"/>
        </w:rPr>
        <w:t xml:space="preserve"> y XXXIV Octubre-Diciembre</w:t>
      </w:r>
      <w:r w:rsidRPr="00B0794A">
        <w:rPr>
          <w:rFonts w:ascii="Arial" w:hAnsi="Arial" w:cs="Arial"/>
          <w:sz w:val="20"/>
          <w:szCs w:val="20"/>
        </w:rPr>
        <w:t xml:space="preserve"> de la Orquesta Sinfónica de Yucatán</w:t>
      </w:r>
      <w:r w:rsidR="00A3760A">
        <w:rPr>
          <w:rFonts w:ascii="Arial" w:hAnsi="Arial" w:cs="Arial"/>
          <w:sz w:val="20"/>
          <w:szCs w:val="20"/>
        </w:rPr>
        <w:t xml:space="preserve">, y 23 conciertos transmitidos </w:t>
      </w:r>
      <w:r w:rsidR="00DD468B">
        <w:rPr>
          <w:rFonts w:ascii="Arial" w:hAnsi="Arial" w:cs="Arial"/>
          <w:sz w:val="20"/>
          <w:szCs w:val="20"/>
        </w:rPr>
        <w:t>a través de redes so</w:t>
      </w:r>
      <w:r w:rsidR="00A3760A">
        <w:rPr>
          <w:rFonts w:ascii="Arial" w:hAnsi="Arial" w:cs="Arial"/>
          <w:sz w:val="20"/>
          <w:szCs w:val="20"/>
        </w:rPr>
        <w:t>ciales</w:t>
      </w:r>
      <w:r w:rsidRPr="00B0794A">
        <w:rPr>
          <w:rFonts w:ascii="Arial" w:hAnsi="Arial" w:cs="Arial"/>
          <w:sz w:val="20"/>
          <w:szCs w:val="20"/>
        </w:rPr>
        <w:t xml:space="preserve">, contando con una asistencia total de </w:t>
      </w:r>
      <w:r w:rsidR="00A3760A">
        <w:rPr>
          <w:rFonts w:ascii="Arial" w:hAnsi="Arial" w:cs="Arial"/>
          <w:sz w:val="20"/>
          <w:szCs w:val="20"/>
        </w:rPr>
        <w:t>41,300</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A3760A">
        <w:rPr>
          <w:rFonts w:ascii="Arial" w:hAnsi="Arial" w:cs="Arial"/>
          <w:sz w:val="20"/>
          <w:szCs w:val="20"/>
        </w:rPr>
        <w:t>77</w:t>
      </w:r>
      <w:r w:rsidR="0004353D">
        <w:rPr>
          <w:rFonts w:ascii="Arial" w:hAnsi="Arial" w:cs="Arial"/>
          <w:sz w:val="20"/>
          <w:szCs w:val="20"/>
        </w:rPr>
        <w:t>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lastRenderedPageBreak/>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w:t>
      </w:r>
      <w:r w:rsidR="00DD468B">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DD468B" w:rsidP="0043200C">
            <w:pPr>
              <w:jc w:val="center"/>
              <w:rPr>
                <w:rFonts w:ascii="Arial" w:hAnsi="Arial" w:cs="Arial"/>
                <w:sz w:val="20"/>
                <w:szCs w:val="20"/>
              </w:rPr>
            </w:pPr>
            <w:r>
              <w:rPr>
                <w:rFonts w:ascii="Arial" w:hAnsi="Arial" w:cs="Arial"/>
                <w:sz w:val="20"/>
                <w:szCs w:val="20"/>
              </w:rPr>
              <w:t>97</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DD468B">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9F0399">
        <w:rPr>
          <w:rFonts w:ascii="Arial" w:hAnsi="Arial" w:cs="Arial"/>
          <w:sz w:val="20"/>
          <w:szCs w:val="20"/>
        </w:rPr>
        <w:t>855</w:t>
      </w:r>
      <w:r w:rsidR="00DD468B">
        <w:rPr>
          <w:rFonts w:ascii="Arial" w:hAnsi="Arial" w:cs="Arial"/>
          <w:sz w:val="20"/>
          <w:szCs w:val="20"/>
        </w:rPr>
        <w:t>,</w:t>
      </w:r>
      <w:r w:rsidR="009F0399">
        <w:rPr>
          <w:rFonts w:ascii="Arial" w:hAnsi="Arial" w:cs="Arial"/>
          <w:sz w:val="20"/>
          <w:szCs w:val="20"/>
        </w:rPr>
        <w:t>12</w:t>
      </w:r>
      <w:r w:rsidR="00DD468B">
        <w:rPr>
          <w:rFonts w:ascii="Arial" w:hAnsi="Arial" w:cs="Arial"/>
          <w:sz w:val="20"/>
          <w:szCs w:val="20"/>
        </w:rPr>
        <w:t>2</w:t>
      </w:r>
      <w:r w:rsidR="00B0794A">
        <w:rPr>
          <w:rFonts w:ascii="Arial" w:hAnsi="Arial" w:cs="Arial"/>
          <w:sz w:val="20"/>
          <w:szCs w:val="20"/>
        </w:rPr>
        <w:t>.00 que equivale</w:t>
      </w:r>
      <w:r w:rsidR="005736D7">
        <w:rPr>
          <w:rFonts w:ascii="Arial" w:hAnsi="Arial" w:cs="Arial"/>
          <w:sz w:val="20"/>
          <w:szCs w:val="20"/>
        </w:rPr>
        <w:t xml:space="preserve"> el </w:t>
      </w:r>
      <w:r w:rsidR="00DD468B">
        <w:rPr>
          <w:rFonts w:ascii="Arial" w:hAnsi="Arial" w:cs="Arial"/>
          <w:sz w:val="20"/>
          <w:szCs w:val="20"/>
        </w:rPr>
        <w:t>97</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9F0399">
        <w:rPr>
          <w:rFonts w:ascii="Arial" w:hAnsi="Arial" w:cs="Arial"/>
          <w:sz w:val="20"/>
          <w:szCs w:val="20"/>
        </w:rPr>
        <w:t>28</w:t>
      </w:r>
      <w:r w:rsidR="00DD468B">
        <w:rPr>
          <w:rFonts w:ascii="Arial" w:hAnsi="Arial" w:cs="Arial"/>
          <w:sz w:val="20"/>
          <w:szCs w:val="20"/>
        </w:rPr>
        <w:t>,</w:t>
      </w:r>
      <w:r w:rsidR="009F0399">
        <w:rPr>
          <w:rFonts w:ascii="Arial" w:hAnsi="Arial" w:cs="Arial"/>
          <w:sz w:val="20"/>
          <w:szCs w:val="20"/>
        </w:rPr>
        <w:t>41</w:t>
      </w:r>
      <w:r w:rsidR="00DD468B">
        <w:rPr>
          <w:rFonts w:ascii="Arial" w:hAnsi="Arial" w:cs="Arial"/>
          <w:sz w:val="20"/>
          <w:szCs w:val="20"/>
        </w:rPr>
        <w:t>8</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lastRenderedPageBreak/>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DD468B">
        <w:rPr>
          <w:rFonts w:ascii="Arial" w:hAnsi="Arial" w:cs="Arial"/>
          <w:sz w:val="20"/>
          <w:szCs w:val="20"/>
        </w:rPr>
        <w:t>al 31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DD468B" w:rsidP="00CD1AD4">
            <w:pPr>
              <w:jc w:val="center"/>
              <w:rPr>
                <w:rFonts w:ascii="Arial" w:hAnsi="Arial" w:cs="Arial"/>
                <w:sz w:val="20"/>
                <w:szCs w:val="20"/>
              </w:rPr>
            </w:pPr>
            <w:r>
              <w:rPr>
                <w:rFonts w:ascii="Arial" w:hAnsi="Arial" w:cs="Arial"/>
                <w:sz w:val="20"/>
                <w:szCs w:val="20"/>
              </w:rPr>
              <w:t>94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DD468B">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DD468B">
        <w:rPr>
          <w:rFonts w:ascii="Arial" w:hAnsi="Arial" w:cs="Arial"/>
          <w:sz w:val="20"/>
          <w:szCs w:val="20"/>
        </w:rPr>
        <w:t>94</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73563A">
        <w:rPr>
          <w:rFonts w:ascii="Arial" w:hAnsi="Arial" w:cs="Arial"/>
          <w:sz w:val="20"/>
          <w:szCs w:val="20"/>
        </w:rPr>
        <w:t xml:space="preserve">     </w:t>
      </w:r>
      <w:r w:rsidR="00DD468B">
        <w:rPr>
          <w:rFonts w:ascii="Arial" w:hAnsi="Arial" w:cs="Arial"/>
          <w:sz w:val="20"/>
          <w:szCs w:val="20"/>
        </w:rPr>
        <w:t xml:space="preserve">               </w:t>
      </w:r>
      <w:r w:rsidR="0073563A">
        <w:rPr>
          <w:rFonts w:ascii="Arial" w:hAnsi="Arial" w:cs="Arial"/>
          <w:sz w:val="20"/>
          <w:szCs w:val="20"/>
        </w:rPr>
        <w:t xml:space="preserve">      </w:t>
      </w:r>
      <w:r w:rsidR="00C00E96">
        <w:rPr>
          <w:rFonts w:ascii="Arial" w:hAnsi="Arial" w:cs="Arial"/>
          <w:sz w:val="20"/>
          <w:szCs w:val="20"/>
        </w:rPr>
        <w:t xml:space="preserve"> $ </w:t>
      </w:r>
      <w:r w:rsidR="00DD468B">
        <w:rPr>
          <w:rFonts w:ascii="Arial" w:hAnsi="Arial" w:cs="Arial"/>
          <w:sz w:val="20"/>
          <w:szCs w:val="20"/>
        </w:rPr>
        <w:t>87</w:t>
      </w:r>
      <w:r w:rsidR="00A725DA">
        <w:rPr>
          <w:rFonts w:ascii="Arial" w:hAnsi="Arial" w:cs="Arial"/>
          <w:sz w:val="20"/>
          <w:szCs w:val="20"/>
        </w:rPr>
        <w:t>,</w:t>
      </w:r>
      <w:r w:rsidR="00DD468B">
        <w:rPr>
          <w:rFonts w:ascii="Arial" w:hAnsi="Arial" w:cs="Arial"/>
          <w:sz w:val="20"/>
          <w:szCs w:val="20"/>
        </w:rPr>
        <w:t>848</w:t>
      </w:r>
      <w:r w:rsidR="00C00E96">
        <w:rPr>
          <w:rFonts w:ascii="Arial" w:hAnsi="Arial" w:cs="Arial"/>
          <w:sz w:val="20"/>
          <w:szCs w:val="20"/>
        </w:rPr>
        <w:t xml:space="preserve">.00, quedando pendiente de ejercer la cantidad $ </w:t>
      </w:r>
      <w:r w:rsidR="0073563A">
        <w:rPr>
          <w:rFonts w:ascii="Arial" w:hAnsi="Arial" w:cs="Arial"/>
          <w:sz w:val="20"/>
          <w:szCs w:val="20"/>
        </w:rPr>
        <w:t>25</w:t>
      </w:r>
      <w:r w:rsidR="00DD468B">
        <w:rPr>
          <w:rFonts w:ascii="Arial" w:hAnsi="Arial" w:cs="Arial"/>
          <w:sz w:val="20"/>
          <w:szCs w:val="20"/>
        </w:rPr>
        <w:t>1</w:t>
      </w:r>
      <w:r w:rsidR="00D72309">
        <w:rPr>
          <w:rFonts w:ascii="Arial" w:hAnsi="Arial" w:cs="Arial"/>
          <w:sz w:val="20"/>
          <w:szCs w:val="20"/>
        </w:rPr>
        <w:t>,</w:t>
      </w:r>
      <w:r w:rsidR="00DD468B">
        <w:rPr>
          <w:rFonts w:ascii="Arial" w:hAnsi="Arial" w:cs="Arial"/>
          <w:sz w:val="20"/>
          <w:szCs w:val="20"/>
        </w:rPr>
        <w:t>875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DD468B">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lastRenderedPageBreak/>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9F0399" w:rsidP="00843D2F">
            <w:pPr>
              <w:jc w:val="center"/>
              <w:rPr>
                <w:rFonts w:ascii="Arial" w:hAnsi="Arial" w:cs="Arial"/>
                <w:sz w:val="20"/>
                <w:szCs w:val="20"/>
              </w:rPr>
            </w:pPr>
            <w:r>
              <w:rPr>
                <w:rFonts w:ascii="Arial" w:hAnsi="Arial" w:cs="Arial"/>
                <w:sz w:val="20"/>
                <w:szCs w:val="20"/>
              </w:rPr>
              <w:t>82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73563A">
        <w:rPr>
          <w:rFonts w:ascii="Arial" w:hAnsi="Arial" w:cs="Arial"/>
          <w:sz w:val="20"/>
          <w:szCs w:val="20"/>
        </w:rPr>
        <w:t xml:space="preserve"> de Enero al 3</w:t>
      </w:r>
      <w:r w:rsidR="00DD468B">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2132B">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DD468B">
        <w:rPr>
          <w:rFonts w:ascii="Arial" w:hAnsi="Arial" w:cs="Arial"/>
          <w:sz w:val="20"/>
          <w:szCs w:val="20"/>
        </w:rPr>
        <w:t>2,</w:t>
      </w:r>
      <w:r w:rsidR="009F0399">
        <w:rPr>
          <w:rFonts w:ascii="Arial" w:hAnsi="Arial" w:cs="Arial"/>
          <w:sz w:val="20"/>
          <w:szCs w:val="20"/>
        </w:rPr>
        <w:t>077</w:t>
      </w:r>
      <w:r w:rsidR="00DD468B">
        <w:rPr>
          <w:rFonts w:ascii="Arial" w:hAnsi="Arial" w:cs="Arial"/>
          <w:sz w:val="20"/>
          <w:szCs w:val="20"/>
        </w:rPr>
        <w:t>,</w:t>
      </w:r>
      <w:r w:rsidR="009F0399">
        <w:rPr>
          <w:rFonts w:ascii="Arial" w:hAnsi="Arial" w:cs="Arial"/>
          <w:sz w:val="20"/>
          <w:szCs w:val="20"/>
        </w:rPr>
        <w:t>502</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9F0399">
        <w:rPr>
          <w:rFonts w:ascii="Arial" w:hAnsi="Arial" w:cs="Arial"/>
          <w:sz w:val="20"/>
          <w:szCs w:val="20"/>
        </w:rPr>
        <w:t>82</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 </w:t>
      </w:r>
      <w:r w:rsidR="009F0399">
        <w:rPr>
          <w:rFonts w:ascii="Arial" w:hAnsi="Arial" w:cs="Arial"/>
          <w:sz w:val="20"/>
          <w:szCs w:val="20"/>
        </w:rPr>
        <w:t>469,217</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066F9C" w:rsidRPr="00853E3D" w:rsidRDefault="00066F9C" w:rsidP="00066F9C">
      <w:pPr>
        <w:rPr>
          <w:rFonts w:ascii="Calibri" w:hAnsi="Calibri" w:cs="Arial"/>
          <w:sz w:val="20"/>
          <w:szCs w:val="20"/>
          <w:lang w:val="es-ES"/>
        </w:rPr>
      </w:pPr>
      <w:r w:rsidRPr="00853E3D">
        <w:rPr>
          <w:rFonts w:ascii="Calibri" w:hAnsi="Calibri"/>
          <w:sz w:val="20"/>
          <w:szCs w:val="20"/>
        </w:rPr>
        <w:t xml:space="preserve">                                  Revisó                                                                                                            Visto Bueno</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066F9C" w:rsidRPr="00853E3D" w:rsidRDefault="00066F9C" w:rsidP="00066F9C">
      <w:pPr>
        <w:jc w:val="center"/>
        <w:rPr>
          <w:rFonts w:ascii="Calibri" w:hAnsi="Calibri"/>
          <w:sz w:val="20"/>
          <w:szCs w:val="20"/>
        </w:rPr>
      </w:pPr>
    </w:p>
    <w:p w:rsidR="00066F9C" w:rsidRPr="00853E3D" w:rsidRDefault="00066F9C" w:rsidP="00066F9C">
      <w:pPr>
        <w:jc w:val="center"/>
        <w:rPr>
          <w:rFonts w:ascii="Calibri" w:hAnsi="Calibri"/>
          <w:sz w:val="20"/>
          <w:szCs w:val="20"/>
        </w:rPr>
      </w:pPr>
    </w:p>
    <w:p w:rsidR="00066F9C" w:rsidRPr="00853E3D" w:rsidRDefault="00066F9C" w:rsidP="00066F9C">
      <w:pPr>
        <w:rPr>
          <w:rFonts w:ascii="Calibri" w:hAnsi="Calibri"/>
          <w:sz w:val="20"/>
          <w:szCs w:val="20"/>
        </w:rPr>
      </w:pPr>
    </w:p>
    <w:p w:rsidR="00066F9C" w:rsidRPr="00B271AC" w:rsidRDefault="00066F9C" w:rsidP="00066F9C">
      <w:pPr>
        <w:jc w:val="center"/>
        <w:rPr>
          <w:rFonts w:ascii="Calibri" w:hAnsi="Calibri"/>
          <w:sz w:val="20"/>
          <w:szCs w:val="20"/>
        </w:rPr>
      </w:pPr>
      <w:r w:rsidRPr="00853E3D">
        <w:rPr>
          <w:rFonts w:ascii="Calibri" w:hAnsi="Calibri"/>
          <w:sz w:val="20"/>
          <w:szCs w:val="20"/>
        </w:rPr>
        <w:t>Elaboró</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066F9C" w:rsidRPr="00853E3D" w:rsidRDefault="00066F9C" w:rsidP="00066F9C">
      <w:pPr>
        <w:jc w:val="center"/>
        <w:rPr>
          <w:rFonts w:ascii="Calibri" w:hAnsi="Calibri"/>
          <w:sz w:val="20"/>
          <w:szCs w:val="20"/>
        </w:rPr>
      </w:pPr>
      <w:r w:rsidRPr="00853E3D">
        <w:rPr>
          <w:rFonts w:ascii="Calibri" w:hAnsi="Calibri"/>
          <w:sz w:val="20"/>
          <w:szCs w:val="20"/>
        </w:rPr>
        <w:t xml:space="preserve">           C.P. Ramón Antonio Pérez Rivera</w:t>
      </w:r>
    </w:p>
    <w:p w:rsidR="00066F9C" w:rsidRPr="00853E3D" w:rsidRDefault="00066F9C" w:rsidP="00066F9C">
      <w:pPr>
        <w:jc w:val="center"/>
        <w:rPr>
          <w:rFonts w:ascii="Calibri" w:hAnsi="Calibri" w:cs="Arial"/>
          <w:sz w:val="20"/>
          <w:szCs w:val="20"/>
        </w:rPr>
      </w:pPr>
      <w:r w:rsidRPr="00853E3D">
        <w:rPr>
          <w:rFonts w:ascii="Calibri" w:hAnsi="Calibri"/>
          <w:sz w:val="20"/>
          <w:szCs w:val="20"/>
        </w:rPr>
        <w:t xml:space="preserve">        Jefe de Contabilidad</w:t>
      </w:r>
    </w:p>
    <w:p w:rsidR="00A279B1" w:rsidRPr="009C7574" w:rsidRDefault="00A279B1" w:rsidP="00CB74C3">
      <w:pPr>
        <w:rPr>
          <w:rFonts w:asciiTheme="minorHAnsi" w:hAnsiTheme="minorHAnsi" w:cs="Arial"/>
          <w:bCs/>
          <w:sz w:val="20"/>
          <w:szCs w:val="20"/>
        </w:rPr>
      </w:pPr>
    </w:p>
    <w:p w:rsidR="0023054F" w:rsidRPr="00D509AB" w:rsidRDefault="00392C20" w:rsidP="00820246">
      <w:pPr>
        <w:rPr>
          <w:rFonts w:ascii="Arial" w:hAnsi="Arial" w:cs="Arial"/>
          <w:sz w:val="20"/>
          <w:szCs w:val="20"/>
        </w:rPr>
      </w:pPr>
      <w:r w:rsidRPr="000A7489">
        <w:rPr>
          <w:rFonts w:ascii="ZapfHumnst BT" w:hAnsi="ZapfHumnst BT"/>
          <w:sz w:val="20"/>
          <w:szCs w:val="20"/>
        </w:rPr>
        <w:t xml:space="preserve">   </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AF" w:rsidRDefault="009E65AF">
      <w:r>
        <w:separator/>
      </w:r>
    </w:p>
  </w:endnote>
  <w:endnote w:type="continuationSeparator" w:id="0">
    <w:p w:rsidR="009E65AF" w:rsidRDefault="009E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Bahnschrift Ligh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AF" w:rsidRDefault="009E65AF">
      <w:r>
        <w:separator/>
      </w:r>
    </w:p>
  </w:footnote>
  <w:footnote w:type="continuationSeparator" w:id="0">
    <w:p w:rsidR="009E65AF" w:rsidRDefault="009E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586086D8" wp14:editId="0A220063">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93B32">
      <w:rPr>
        <w:rFonts w:asciiTheme="minorHAnsi" w:hAnsiTheme="minorHAnsi"/>
        <w:b/>
        <w:sz w:val="22"/>
        <w:szCs w:val="22"/>
        <w:lang w:val="es-ES"/>
      </w:rPr>
      <w:t>al 3</w:t>
    </w:r>
    <w:r w:rsidR="00A3760A">
      <w:rPr>
        <w:rFonts w:asciiTheme="minorHAnsi" w:hAnsiTheme="minorHAnsi"/>
        <w:b/>
        <w:sz w:val="22"/>
        <w:szCs w:val="22"/>
        <w:lang w:val="es-ES"/>
      </w:rPr>
      <w:t>1</w:t>
    </w:r>
    <w:r w:rsidR="003C1C69">
      <w:rPr>
        <w:rFonts w:asciiTheme="minorHAnsi" w:hAnsiTheme="minorHAnsi"/>
        <w:b/>
        <w:sz w:val="22"/>
        <w:szCs w:val="22"/>
        <w:lang w:val="es-ES"/>
      </w:rPr>
      <w:t xml:space="preserve"> de </w:t>
    </w:r>
    <w:r w:rsidR="005870C3">
      <w:rPr>
        <w:rFonts w:asciiTheme="minorHAnsi" w:hAnsiTheme="minorHAnsi"/>
        <w:b/>
        <w:sz w:val="22"/>
        <w:szCs w:val="22"/>
        <w:lang w:val="es-ES"/>
      </w:rPr>
      <w:t>Enero</w:t>
    </w:r>
    <w:r w:rsidR="003C1C69">
      <w:rPr>
        <w:rFonts w:asciiTheme="minorHAnsi" w:hAnsiTheme="minorHAnsi"/>
        <w:b/>
        <w:sz w:val="22"/>
        <w:szCs w:val="22"/>
        <w:lang w:val="es-ES"/>
      </w:rPr>
      <w:t xml:space="preserve"> </w:t>
    </w:r>
    <w:r w:rsidR="005870C3">
      <w:rPr>
        <w:rFonts w:asciiTheme="minorHAnsi" w:hAnsiTheme="minorHAnsi"/>
        <w:b/>
        <w:sz w:val="22"/>
        <w:szCs w:val="22"/>
        <w:lang w:val="es-ES"/>
      </w:rPr>
      <w:t>de 2021</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0C3"/>
    <w:rsid w:val="00587D85"/>
    <w:rsid w:val="0059145D"/>
    <w:rsid w:val="00594460"/>
    <w:rsid w:val="00594890"/>
    <w:rsid w:val="005A1AAA"/>
    <w:rsid w:val="005A307D"/>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07FF2"/>
    <w:rsid w:val="008133E2"/>
    <w:rsid w:val="00816627"/>
    <w:rsid w:val="00816860"/>
    <w:rsid w:val="00820246"/>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63D6-5E19-4A78-AE26-10DED82F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5</cp:revision>
  <cp:lastPrinted>2021-02-10T19:47:00Z</cp:lastPrinted>
  <dcterms:created xsi:type="dcterms:W3CDTF">2021-02-10T19:39:00Z</dcterms:created>
  <dcterms:modified xsi:type="dcterms:W3CDTF">2021-04-06T17:37:00Z</dcterms:modified>
</cp:coreProperties>
</file>