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E96" w:rsidRDefault="00C00E96" w:rsidP="00C00E96">
      <w:pPr>
        <w:pStyle w:val="Prrafodelista"/>
        <w:tabs>
          <w:tab w:val="left" w:pos="284"/>
        </w:tabs>
        <w:spacing w:line="360" w:lineRule="auto"/>
        <w:ind w:left="0"/>
        <w:jc w:val="both"/>
        <w:rPr>
          <w:rFonts w:ascii="Arial" w:hAnsi="Arial" w:cs="Arial"/>
          <w:sz w:val="20"/>
          <w:szCs w:val="20"/>
        </w:rPr>
      </w:pPr>
      <w:r>
        <w:rPr>
          <w:rFonts w:ascii="Arial" w:hAnsi="Arial" w:cs="Arial"/>
          <w:sz w:val="20"/>
          <w:szCs w:val="20"/>
        </w:rPr>
        <w:t>El Gobierno del Estado de Yucatán elabora el presupuesto con base a</w:t>
      </w:r>
      <w:r w:rsidRPr="00835D25">
        <w:rPr>
          <w:rFonts w:ascii="Arial" w:hAnsi="Arial" w:cs="Arial"/>
          <w:sz w:val="20"/>
          <w:szCs w:val="20"/>
        </w:rPr>
        <w:t>l modelo de Gestión para Resultados del Desarrollo es una estrategia que orienta la actividad pública a la generación del mayor valor público posible, mediante la creación de un nuevo modelo de cultura organizacional y de dirección con el fin de producir, de manera sostenible, mejoras en la calidad de vida de la sociedad, es decir, lograr una mayor efectividad en el desarrollo. Trasciende el enfoque tradicional centrado en procedimientos, insumos y facultades ya que pone énfasis en los resultados y no en los procedimientos. Lo anterior en el marco de una amplia participación social y prácticas amplias y sostenidas de transparencia y rendición de cuentas.</w:t>
      </w:r>
      <w:r>
        <w:rPr>
          <w:rFonts w:ascii="Arial" w:hAnsi="Arial" w:cs="Arial"/>
          <w:sz w:val="20"/>
          <w:szCs w:val="20"/>
        </w:rPr>
        <w:t xml:space="preserve"> Es la misma línea que guarda la Entidad que hoy informa. </w:t>
      </w:r>
    </w:p>
    <w:p w:rsidR="00C00E96" w:rsidRPr="00835D25" w:rsidRDefault="00C00E96" w:rsidP="00C00E96">
      <w:pPr>
        <w:pStyle w:val="Prrafodelista"/>
        <w:tabs>
          <w:tab w:val="left" w:pos="284"/>
        </w:tabs>
        <w:spacing w:line="360" w:lineRule="auto"/>
        <w:ind w:left="0"/>
        <w:jc w:val="both"/>
        <w:rPr>
          <w:rFonts w:ascii="Arial" w:hAnsi="Arial" w:cs="Arial"/>
          <w:sz w:val="20"/>
          <w:szCs w:val="20"/>
        </w:rPr>
      </w:pPr>
    </w:p>
    <w:p w:rsidR="00C00E96" w:rsidRDefault="00C00E96" w:rsidP="00C00E96">
      <w:pPr>
        <w:pStyle w:val="Prrafodelista"/>
        <w:tabs>
          <w:tab w:val="left" w:pos="284"/>
        </w:tabs>
        <w:spacing w:line="360" w:lineRule="auto"/>
        <w:ind w:left="0"/>
        <w:jc w:val="both"/>
        <w:rPr>
          <w:rFonts w:ascii="Arial" w:hAnsi="Arial" w:cs="Arial"/>
          <w:sz w:val="20"/>
          <w:szCs w:val="20"/>
        </w:rPr>
      </w:pPr>
      <w:r w:rsidRPr="00070878">
        <w:rPr>
          <w:rFonts w:ascii="Arial" w:hAnsi="Arial" w:cs="Arial"/>
          <w:sz w:val="20"/>
          <w:szCs w:val="20"/>
        </w:rPr>
        <w:t>Los Programas Operativos Anuales No. 1210</w:t>
      </w:r>
      <w:r>
        <w:rPr>
          <w:rFonts w:ascii="Arial" w:hAnsi="Arial" w:cs="Arial"/>
          <w:sz w:val="20"/>
          <w:szCs w:val="20"/>
        </w:rPr>
        <w:t>0</w:t>
      </w:r>
      <w:r w:rsidRPr="00070878">
        <w:rPr>
          <w:rFonts w:ascii="Arial" w:hAnsi="Arial" w:cs="Arial"/>
          <w:sz w:val="20"/>
          <w:szCs w:val="20"/>
        </w:rPr>
        <w:t>, 1210</w:t>
      </w:r>
      <w:r>
        <w:rPr>
          <w:rFonts w:ascii="Arial" w:hAnsi="Arial" w:cs="Arial"/>
          <w:sz w:val="20"/>
          <w:szCs w:val="20"/>
        </w:rPr>
        <w:t>1</w:t>
      </w:r>
      <w:r w:rsidRPr="00070878">
        <w:rPr>
          <w:rFonts w:ascii="Arial" w:hAnsi="Arial" w:cs="Arial"/>
          <w:sz w:val="20"/>
          <w:szCs w:val="20"/>
        </w:rPr>
        <w:t>, 12102 y 12103 se consideran programas de Presupuesto Institucional de Servicios Personales</w:t>
      </w:r>
      <w:r>
        <w:rPr>
          <w:rFonts w:ascii="Arial" w:hAnsi="Arial" w:cs="Arial"/>
          <w:sz w:val="20"/>
          <w:szCs w:val="20"/>
        </w:rPr>
        <w:t>, debido a que</w:t>
      </w:r>
      <w:r w:rsidRPr="00070878">
        <w:rPr>
          <w:rFonts w:ascii="Arial" w:hAnsi="Arial" w:cs="Arial"/>
          <w:sz w:val="20"/>
          <w:szCs w:val="20"/>
        </w:rPr>
        <w:t xml:space="preserve"> </w:t>
      </w:r>
      <w:r>
        <w:rPr>
          <w:rFonts w:ascii="Arial" w:hAnsi="Arial" w:cs="Arial"/>
          <w:sz w:val="20"/>
          <w:szCs w:val="20"/>
        </w:rPr>
        <w:t>acumulan</w:t>
      </w:r>
      <w:r w:rsidRPr="00070878">
        <w:rPr>
          <w:rFonts w:ascii="Arial" w:hAnsi="Arial" w:cs="Arial"/>
          <w:sz w:val="20"/>
          <w:szCs w:val="20"/>
        </w:rPr>
        <w:t xml:space="preserve"> las erogaciones por concepto de contraprestaciones de servicios personales destinadas al personal adscrito a una unidad administrativa.  </w:t>
      </w:r>
    </w:p>
    <w:p w:rsidR="00C00E96" w:rsidRDefault="00C00E96" w:rsidP="00C00E96">
      <w:pPr>
        <w:pStyle w:val="Prrafodelista"/>
        <w:tabs>
          <w:tab w:val="left" w:pos="284"/>
        </w:tabs>
        <w:spacing w:line="360" w:lineRule="auto"/>
        <w:ind w:left="0"/>
        <w:jc w:val="both"/>
        <w:rPr>
          <w:rFonts w:ascii="Arial" w:hAnsi="Arial" w:cs="Arial"/>
          <w:sz w:val="20"/>
          <w:szCs w:val="20"/>
        </w:rPr>
      </w:pPr>
    </w:p>
    <w:p w:rsidR="00C00E96" w:rsidRDefault="00C00E96" w:rsidP="00C00E96">
      <w:pPr>
        <w:pStyle w:val="Prrafodelista"/>
        <w:tabs>
          <w:tab w:val="left" w:pos="284"/>
        </w:tabs>
        <w:spacing w:line="360" w:lineRule="auto"/>
        <w:ind w:left="0"/>
        <w:jc w:val="both"/>
        <w:rPr>
          <w:rFonts w:ascii="Arial" w:hAnsi="Arial" w:cs="Arial"/>
          <w:sz w:val="20"/>
          <w:szCs w:val="20"/>
        </w:rPr>
      </w:pPr>
      <w:r>
        <w:rPr>
          <w:rFonts w:ascii="Arial" w:hAnsi="Arial" w:cs="Arial"/>
          <w:sz w:val="20"/>
          <w:szCs w:val="20"/>
        </w:rPr>
        <w:t>El Programa Operativo Anual No. 12105 se considera programa de Actividad Programática,</w:t>
      </w:r>
      <w:r w:rsidRPr="00070878">
        <w:rPr>
          <w:rFonts w:ascii="Arial" w:hAnsi="Arial" w:cs="Arial"/>
          <w:sz w:val="20"/>
          <w:szCs w:val="20"/>
        </w:rPr>
        <w:t xml:space="preserve"> </w:t>
      </w:r>
      <w:r>
        <w:rPr>
          <w:rFonts w:ascii="Arial" w:hAnsi="Arial" w:cs="Arial"/>
          <w:sz w:val="20"/>
          <w:szCs w:val="20"/>
        </w:rPr>
        <w:t xml:space="preserve">debido a que contiene </w:t>
      </w:r>
      <w:r w:rsidRPr="00070878">
        <w:rPr>
          <w:rFonts w:ascii="Arial" w:hAnsi="Arial" w:cs="Arial"/>
          <w:sz w:val="20"/>
          <w:szCs w:val="20"/>
        </w:rPr>
        <w:t>actividades interdependientes orientadas al logro de un mismo objetivo específico, que tiene un período de tiempo de ejecución no mayor a un año y al que se asignan recursos financieros para proporcionar bienes o servicios públicos.</w:t>
      </w:r>
    </w:p>
    <w:p w:rsidR="00C00E96" w:rsidRDefault="00C00E96" w:rsidP="00C00E96">
      <w:pPr>
        <w:pStyle w:val="Prrafodelista"/>
        <w:tabs>
          <w:tab w:val="left" w:pos="284"/>
        </w:tabs>
        <w:spacing w:line="360" w:lineRule="auto"/>
        <w:ind w:left="0"/>
        <w:jc w:val="both"/>
        <w:rPr>
          <w:rFonts w:ascii="Arial" w:hAnsi="Arial" w:cs="Arial"/>
          <w:sz w:val="20"/>
          <w:szCs w:val="20"/>
        </w:rPr>
      </w:pPr>
    </w:p>
    <w:p w:rsidR="00C00E96" w:rsidRPr="00CE111B" w:rsidRDefault="00C00E96" w:rsidP="00C00E96">
      <w:pPr>
        <w:pStyle w:val="Prrafodelista"/>
        <w:tabs>
          <w:tab w:val="left" w:pos="284"/>
        </w:tabs>
        <w:spacing w:line="360" w:lineRule="auto"/>
        <w:ind w:left="0"/>
        <w:jc w:val="both"/>
        <w:rPr>
          <w:rFonts w:ascii="Arial" w:hAnsi="Arial" w:cs="Arial"/>
          <w:sz w:val="20"/>
          <w:szCs w:val="20"/>
        </w:rPr>
      </w:pPr>
      <w:r>
        <w:rPr>
          <w:rFonts w:ascii="Arial" w:hAnsi="Arial" w:cs="Arial"/>
          <w:sz w:val="20"/>
          <w:szCs w:val="20"/>
        </w:rPr>
        <w:t>El Programa Operativo Anual No.12108 se considera programa de Gastos Administrativos, debido a que acumula</w:t>
      </w:r>
      <w:r w:rsidRPr="00CE111B">
        <w:rPr>
          <w:rFonts w:ascii="Arial" w:hAnsi="Arial" w:cs="Arial"/>
          <w:sz w:val="20"/>
          <w:szCs w:val="20"/>
        </w:rPr>
        <w:t xml:space="preserve"> los gastos administrativos no identificables para cada uno de lo</w:t>
      </w:r>
      <w:r>
        <w:rPr>
          <w:rFonts w:ascii="Arial" w:hAnsi="Arial" w:cs="Arial"/>
          <w:sz w:val="20"/>
          <w:szCs w:val="20"/>
        </w:rPr>
        <w:t xml:space="preserve">s centros de costo. </w:t>
      </w:r>
    </w:p>
    <w:p w:rsidR="00C00E96" w:rsidRDefault="00C00E96" w:rsidP="00C00E96">
      <w:pPr>
        <w:pStyle w:val="Prrafodelista"/>
        <w:tabs>
          <w:tab w:val="left" w:pos="284"/>
        </w:tabs>
        <w:spacing w:line="360" w:lineRule="auto"/>
        <w:ind w:left="0"/>
        <w:jc w:val="both"/>
        <w:rPr>
          <w:rFonts w:ascii="Arial" w:hAnsi="Arial" w:cs="Arial"/>
          <w:sz w:val="20"/>
          <w:szCs w:val="20"/>
        </w:rPr>
      </w:pPr>
      <w:r>
        <w:rPr>
          <w:rFonts w:ascii="Arial" w:hAnsi="Arial" w:cs="Arial"/>
          <w:sz w:val="20"/>
          <w:szCs w:val="20"/>
        </w:rPr>
        <w:t>Los Programas Operativos Anuales No. 13936 y 13937 se consideran programas de Actividad Institucional, debido a que integran las a</w:t>
      </w:r>
      <w:r w:rsidRPr="00CE111B">
        <w:rPr>
          <w:rFonts w:ascii="Arial" w:hAnsi="Arial" w:cs="Arial"/>
          <w:sz w:val="20"/>
          <w:szCs w:val="20"/>
        </w:rPr>
        <w:t>cciones de apoyo para organizar y facilitar la conducción de la totalidad de los procesos de la organización, de conformidad con el ordenamiento legal que les confiere sus atribuciones. Son consideradas acciones rutinarias que realizan las dependencias y entidades ejecutoras de presupuesto con cargo a los recursos públicos asignados.</w:t>
      </w:r>
    </w:p>
    <w:p w:rsidR="00C00E96" w:rsidRDefault="00C00E96" w:rsidP="00C00E96">
      <w:pPr>
        <w:pStyle w:val="Prrafodelista"/>
        <w:tabs>
          <w:tab w:val="left" w:pos="284"/>
        </w:tabs>
        <w:spacing w:line="360" w:lineRule="auto"/>
        <w:ind w:left="0"/>
        <w:jc w:val="both"/>
        <w:rPr>
          <w:rFonts w:ascii="Arial" w:hAnsi="Arial" w:cs="Arial"/>
          <w:sz w:val="20"/>
          <w:szCs w:val="20"/>
        </w:rPr>
      </w:pPr>
    </w:p>
    <w:p w:rsidR="00C00E96" w:rsidRPr="00D509AB" w:rsidRDefault="00C00E96" w:rsidP="00C00E96">
      <w:pPr>
        <w:pStyle w:val="Prrafodelista"/>
        <w:tabs>
          <w:tab w:val="left" w:pos="284"/>
        </w:tabs>
        <w:spacing w:line="360" w:lineRule="auto"/>
        <w:ind w:left="0"/>
        <w:jc w:val="both"/>
        <w:rPr>
          <w:rFonts w:ascii="Arial" w:hAnsi="Arial" w:cs="Arial"/>
          <w:sz w:val="20"/>
          <w:szCs w:val="20"/>
        </w:rPr>
      </w:pPr>
      <w:r w:rsidRPr="00D509AB">
        <w:rPr>
          <w:rFonts w:ascii="Arial" w:hAnsi="Arial" w:cs="Arial"/>
          <w:sz w:val="20"/>
          <w:szCs w:val="20"/>
        </w:rPr>
        <w:t xml:space="preserve">Conforme al decreto número </w:t>
      </w:r>
      <w:r w:rsidR="00DF415D">
        <w:rPr>
          <w:rFonts w:ascii="Arial" w:hAnsi="Arial" w:cs="Arial"/>
          <w:sz w:val="20"/>
          <w:szCs w:val="20"/>
        </w:rPr>
        <w:t>159</w:t>
      </w:r>
      <w:r w:rsidRPr="00D509AB">
        <w:rPr>
          <w:rFonts w:ascii="Arial" w:hAnsi="Arial" w:cs="Arial"/>
          <w:sz w:val="20"/>
          <w:szCs w:val="20"/>
        </w:rPr>
        <w:t xml:space="preserve"> publicado el día </w:t>
      </w:r>
      <w:r w:rsidR="00DF415D">
        <w:rPr>
          <w:rFonts w:ascii="Arial" w:hAnsi="Arial" w:cs="Arial"/>
          <w:sz w:val="20"/>
          <w:szCs w:val="20"/>
        </w:rPr>
        <w:t>31 de Diciembre de 2019</w:t>
      </w:r>
      <w:r w:rsidRPr="00D509AB">
        <w:rPr>
          <w:rFonts w:ascii="Arial" w:hAnsi="Arial" w:cs="Arial"/>
          <w:sz w:val="20"/>
          <w:szCs w:val="20"/>
        </w:rPr>
        <w:t xml:space="preserve"> en el Diario Oficial del Estado, se autorizó la cantidad  de $ </w:t>
      </w:r>
      <w:r w:rsidR="00DF415D">
        <w:rPr>
          <w:rFonts w:ascii="Arial" w:hAnsi="Arial" w:cs="Arial"/>
          <w:sz w:val="20"/>
          <w:szCs w:val="20"/>
        </w:rPr>
        <w:t>41</w:t>
      </w:r>
      <w:r>
        <w:rPr>
          <w:rFonts w:ascii="Arial" w:hAnsi="Arial" w:cs="Arial"/>
          <w:sz w:val="20"/>
          <w:szCs w:val="20"/>
        </w:rPr>
        <w:t>´</w:t>
      </w:r>
      <w:r w:rsidR="00DF415D">
        <w:rPr>
          <w:rFonts w:ascii="Arial" w:hAnsi="Arial" w:cs="Arial"/>
          <w:sz w:val="20"/>
          <w:szCs w:val="20"/>
        </w:rPr>
        <w:t>363</w:t>
      </w:r>
      <w:r>
        <w:rPr>
          <w:rFonts w:ascii="Arial" w:hAnsi="Arial" w:cs="Arial"/>
          <w:sz w:val="20"/>
          <w:szCs w:val="20"/>
        </w:rPr>
        <w:t>,</w:t>
      </w:r>
      <w:r w:rsidR="00DF415D">
        <w:rPr>
          <w:rFonts w:ascii="Arial" w:hAnsi="Arial" w:cs="Arial"/>
          <w:sz w:val="20"/>
          <w:szCs w:val="20"/>
        </w:rPr>
        <w:t>746</w:t>
      </w:r>
      <w:r w:rsidRPr="00D509AB">
        <w:rPr>
          <w:rFonts w:ascii="Arial" w:hAnsi="Arial" w:cs="Arial"/>
          <w:sz w:val="20"/>
          <w:szCs w:val="20"/>
        </w:rPr>
        <w:t xml:space="preserve">.00 </w:t>
      </w:r>
      <w:r>
        <w:rPr>
          <w:rFonts w:ascii="Arial" w:hAnsi="Arial" w:cs="Arial"/>
          <w:sz w:val="20"/>
          <w:szCs w:val="20"/>
        </w:rPr>
        <w:t>para</w:t>
      </w:r>
      <w:r w:rsidRPr="00D509AB">
        <w:rPr>
          <w:rFonts w:ascii="Arial" w:hAnsi="Arial" w:cs="Arial"/>
          <w:sz w:val="20"/>
          <w:szCs w:val="20"/>
        </w:rPr>
        <w:t xml:space="preserve"> </w:t>
      </w:r>
      <w:r>
        <w:rPr>
          <w:rFonts w:ascii="Arial" w:hAnsi="Arial" w:cs="Arial"/>
          <w:sz w:val="20"/>
          <w:szCs w:val="20"/>
        </w:rPr>
        <w:t>e</w:t>
      </w:r>
      <w:r w:rsidRPr="00D509AB">
        <w:rPr>
          <w:rFonts w:ascii="Arial" w:hAnsi="Arial" w:cs="Arial"/>
          <w:sz w:val="20"/>
          <w:szCs w:val="20"/>
        </w:rPr>
        <w:t>l Fideicomiso Garante de la Orquesta Sinfónica de Y</w:t>
      </w:r>
      <w:r w:rsidR="00DF415D">
        <w:rPr>
          <w:rFonts w:ascii="Arial" w:hAnsi="Arial" w:cs="Arial"/>
          <w:sz w:val="20"/>
          <w:szCs w:val="20"/>
        </w:rPr>
        <w:t>ucatán, durante el ejercicio 2020</w:t>
      </w:r>
      <w:r w:rsidRPr="00D509AB">
        <w:rPr>
          <w:rFonts w:ascii="Arial" w:hAnsi="Arial" w:cs="Arial"/>
          <w:sz w:val="20"/>
          <w:szCs w:val="20"/>
        </w:rPr>
        <w:t>.</w:t>
      </w:r>
    </w:p>
    <w:p w:rsidR="00C00E96" w:rsidRDefault="00C00E96" w:rsidP="00C00E96">
      <w:pPr>
        <w:pStyle w:val="Prrafodelista"/>
        <w:tabs>
          <w:tab w:val="left" w:pos="284"/>
        </w:tabs>
        <w:spacing w:line="360" w:lineRule="auto"/>
        <w:ind w:left="0"/>
        <w:jc w:val="both"/>
        <w:rPr>
          <w:rFonts w:ascii="Arial" w:hAnsi="Arial" w:cs="Arial"/>
          <w:sz w:val="20"/>
          <w:szCs w:val="20"/>
        </w:rPr>
      </w:pPr>
    </w:p>
    <w:p w:rsidR="00C00E96" w:rsidRDefault="00C00E96" w:rsidP="00C00E96">
      <w:pPr>
        <w:pStyle w:val="Prrafodelista"/>
        <w:tabs>
          <w:tab w:val="left" w:pos="284"/>
        </w:tabs>
        <w:spacing w:line="360" w:lineRule="auto"/>
        <w:ind w:left="0"/>
        <w:jc w:val="both"/>
        <w:rPr>
          <w:rFonts w:ascii="Arial" w:hAnsi="Arial" w:cs="Arial"/>
          <w:sz w:val="20"/>
          <w:szCs w:val="20"/>
        </w:rPr>
      </w:pPr>
      <w:r>
        <w:rPr>
          <w:rFonts w:ascii="Arial" w:hAnsi="Arial" w:cs="Arial"/>
          <w:sz w:val="20"/>
          <w:szCs w:val="20"/>
        </w:rPr>
        <w:t>Se presenta a continuación una tabla de aplicación de presupuesto de acuerdo con las áreas programáticas del FIGAROSY.</w:t>
      </w:r>
    </w:p>
    <w:bookmarkStart w:id="0" w:name="_MON_1502102391"/>
    <w:bookmarkEnd w:id="0"/>
    <w:p w:rsidR="00C00E96" w:rsidRDefault="009F0399" w:rsidP="004061B1">
      <w:pPr>
        <w:pStyle w:val="Ttulo5"/>
      </w:pPr>
      <w:r w:rsidRPr="00AD2C33">
        <w:object w:dxaOrig="9846" w:dyaOrig="5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91.5pt;height:266.1pt" o:ole="">
            <v:imagedata r:id="rId9" o:title=""/>
          </v:shape>
          <o:OLEObject Type="Embed" ProgID="Excel.Sheet.12" ShapeID="_x0000_i1034" DrawAspect="Content" ObjectID="_1674470081" r:id="rId10"/>
        </w:object>
      </w:r>
    </w:p>
    <w:p w:rsidR="00C00E96" w:rsidRDefault="00C00E96" w:rsidP="00C00E96">
      <w:pPr>
        <w:spacing w:line="360" w:lineRule="auto"/>
        <w:jc w:val="both"/>
        <w:rPr>
          <w:rFonts w:ascii="Arial" w:hAnsi="Arial" w:cs="Arial"/>
          <w:b/>
          <w:sz w:val="20"/>
          <w:szCs w:val="20"/>
          <w:u w:val="single"/>
        </w:rPr>
      </w:pPr>
    </w:p>
    <w:p w:rsidR="00C00E96" w:rsidRDefault="00C00E96" w:rsidP="00C00E96">
      <w:pPr>
        <w:spacing w:line="360" w:lineRule="auto"/>
        <w:jc w:val="both"/>
        <w:rPr>
          <w:rFonts w:ascii="Arial" w:hAnsi="Arial" w:cs="Arial"/>
          <w:sz w:val="20"/>
          <w:szCs w:val="20"/>
        </w:rPr>
      </w:pPr>
      <w:r w:rsidRPr="00D509AB">
        <w:rPr>
          <w:rFonts w:ascii="Arial" w:hAnsi="Arial" w:cs="Arial"/>
          <w:sz w:val="20"/>
          <w:szCs w:val="20"/>
        </w:rPr>
        <w:t xml:space="preserve">A continuación se realiza el análisis de las variaciones suscitadas en la ejecución de los Unidades Básicas de </w:t>
      </w:r>
      <w:proofErr w:type="spellStart"/>
      <w:r w:rsidRPr="00D509AB">
        <w:rPr>
          <w:rFonts w:ascii="Arial" w:hAnsi="Arial" w:cs="Arial"/>
          <w:sz w:val="20"/>
          <w:szCs w:val="20"/>
        </w:rPr>
        <w:t>Presupuestación</w:t>
      </w:r>
      <w:proofErr w:type="spellEnd"/>
      <w:r w:rsidRPr="00D509AB">
        <w:rPr>
          <w:rFonts w:ascii="Arial" w:hAnsi="Arial" w:cs="Arial"/>
          <w:sz w:val="20"/>
          <w:szCs w:val="20"/>
        </w:rPr>
        <w:t xml:space="preserve"> y Comparación de Resultados Alcanzados con las metas establecidas de acuerdo con los Indicadores de Gestión por </w:t>
      </w:r>
      <w:r>
        <w:rPr>
          <w:rFonts w:ascii="Arial" w:hAnsi="Arial" w:cs="Arial"/>
          <w:sz w:val="20"/>
          <w:szCs w:val="20"/>
        </w:rPr>
        <w:t xml:space="preserve">el período del </w:t>
      </w:r>
      <w:bookmarkStart w:id="1" w:name="OLE_LINK1"/>
      <w:bookmarkStart w:id="2" w:name="OLE_LINK2"/>
      <w:bookmarkStart w:id="3" w:name="OLE_LINK3"/>
      <w:r>
        <w:rPr>
          <w:rFonts w:ascii="Arial" w:hAnsi="Arial" w:cs="Arial"/>
          <w:sz w:val="20"/>
          <w:szCs w:val="20"/>
        </w:rPr>
        <w:t>1</w:t>
      </w:r>
      <w:r w:rsidR="00677B38">
        <w:rPr>
          <w:rFonts w:ascii="Arial" w:hAnsi="Arial" w:cs="Arial"/>
          <w:sz w:val="20"/>
          <w:szCs w:val="20"/>
        </w:rPr>
        <w:t xml:space="preserve"> de Enero</w:t>
      </w:r>
      <w:r>
        <w:rPr>
          <w:rFonts w:ascii="Arial" w:hAnsi="Arial" w:cs="Arial"/>
          <w:sz w:val="20"/>
          <w:szCs w:val="20"/>
        </w:rPr>
        <w:t xml:space="preserve"> </w:t>
      </w:r>
      <w:r w:rsidR="00387ED2">
        <w:rPr>
          <w:rFonts w:ascii="Arial" w:hAnsi="Arial" w:cs="Arial"/>
          <w:sz w:val="20"/>
          <w:szCs w:val="20"/>
        </w:rPr>
        <w:t xml:space="preserve">al </w:t>
      </w:r>
      <w:r w:rsidR="00A3760A">
        <w:rPr>
          <w:rFonts w:ascii="Arial" w:hAnsi="Arial" w:cs="Arial"/>
          <w:sz w:val="20"/>
          <w:szCs w:val="20"/>
        </w:rPr>
        <w:t>31</w:t>
      </w:r>
      <w:r w:rsidR="00387ED2">
        <w:rPr>
          <w:rFonts w:ascii="Arial" w:hAnsi="Arial" w:cs="Arial"/>
          <w:sz w:val="20"/>
          <w:szCs w:val="20"/>
        </w:rPr>
        <w:t xml:space="preserve"> </w:t>
      </w:r>
      <w:r w:rsidR="001D4773">
        <w:rPr>
          <w:rFonts w:ascii="Arial" w:hAnsi="Arial" w:cs="Arial"/>
          <w:sz w:val="20"/>
          <w:szCs w:val="20"/>
        </w:rPr>
        <w:t xml:space="preserve">de </w:t>
      </w:r>
      <w:r w:rsidR="00A3760A">
        <w:rPr>
          <w:rFonts w:ascii="Arial" w:hAnsi="Arial" w:cs="Arial"/>
          <w:sz w:val="20"/>
          <w:szCs w:val="20"/>
        </w:rPr>
        <w:t>Dic</w:t>
      </w:r>
      <w:r w:rsidR="0073563A">
        <w:rPr>
          <w:rFonts w:ascii="Arial" w:hAnsi="Arial" w:cs="Arial"/>
          <w:sz w:val="20"/>
          <w:szCs w:val="20"/>
        </w:rPr>
        <w:t>iem</w:t>
      </w:r>
      <w:r w:rsidR="00B4297F">
        <w:rPr>
          <w:rFonts w:ascii="Arial" w:hAnsi="Arial" w:cs="Arial"/>
          <w:sz w:val="20"/>
          <w:szCs w:val="20"/>
        </w:rPr>
        <w:t>bre</w:t>
      </w:r>
      <w:r w:rsidR="001D4773">
        <w:rPr>
          <w:rFonts w:ascii="Arial" w:hAnsi="Arial" w:cs="Arial"/>
          <w:sz w:val="20"/>
          <w:szCs w:val="20"/>
        </w:rPr>
        <w:t xml:space="preserve"> </w:t>
      </w:r>
      <w:bookmarkEnd w:id="1"/>
      <w:bookmarkEnd w:id="2"/>
      <w:bookmarkEnd w:id="3"/>
      <w:r w:rsidR="00387ED2">
        <w:rPr>
          <w:rFonts w:ascii="Arial" w:hAnsi="Arial" w:cs="Arial"/>
          <w:sz w:val="20"/>
          <w:szCs w:val="20"/>
        </w:rPr>
        <w:t>de 2020</w:t>
      </w:r>
      <w:r w:rsidRPr="00D509AB">
        <w:rPr>
          <w:rFonts w:ascii="Arial" w:hAnsi="Arial" w:cs="Arial"/>
          <w:sz w:val="20"/>
          <w:szCs w:val="20"/>
        </w:rPr>
        <w:t>.</w:t>
      </w:r>
    </w:p>
    <w:p w:rsidR="00AB602F" w:rsidRDefault="00AB602F" w:rsidP="00AB602F">
      <w:pPr>
        <w:autoSpaceDE w:val="0"/>
        <w:autoSpaceDN w:val="0"/>
        <w:adjustRightInd w:val="0"/>
        <w:spacing w:line="360" w:lineRule="auto"/>
        <w:jc w:val="both"/>
        <w:rPr>
          <w:rFonts w:ascii="ZapfHumnst BT" w:hAnsi="ZapfHumnst BT"/>
          <w:sz w:val="20"/>
          <w:szCs w:val="20"/>
        </w:rPr>
      </w:pPr>
    </w:p>
    <w:p w:rsidR="00D509AB" w:rsidRPr="000B2366" w:rsidRDefault="00D509AB" w:rsidP="00D509AB">
      <w:pPr>
        <w:pStyle w:val="Prrafodelista"/>
        <w:numPr>
          <w:ilvl w:val="0"/>
          <w:numId w:val="40"/>
        </w:numPr>
        <w:spacing w:after="200" w:line="360" w:lineRule="auto"/>
        <w:ind w:left="284" w:hanging="284"/>
        <w:jc w:val="both"/>
        <w:rPr>
          <w:rFonts w:ascii="Arial" w:hAnsi="Arial" w:cs="Arial"/>
          <w:b/>
          <w:sz w:val="20"/>
          <w:szCs w:val="20"/>
        </w:rPr>
      </w:pPr>
      <w:r w:rsidRPr="000B2366">
        <w:rPr>
          <w:rFonts w:ascii="Arial" w:hAnsi="Arial" w:cs="Arial"/>
          <w:b/>
          <w:sz w:val="20"/>
          <w:szCs w:val="20"/>
        </w:rPr>
        <w:t>Proyecto de Presentaciones de la Orquesta Sinfónica de Yucatán (</w:t>
      </w:r>
      <w:r>
        <w:rPr>
          <w:rFonts w:ascii="Arial" w:hAnsi="Arial" w:cs="Arial"/>
          <w:b/>
          <w:sz w:val="20"/>
          <w:szCs w:val="20"/>
        </w:rPr>
        <w:t>UBP-</w:t>
      </w:r>
      <w:r w:rsidRPr="000B2366">
        <w:rPr>
          <w:rFonts w:ascii="Arial" w:hAnsi="Arial" w:cs="Arial"/>
          <w:b/>
          <w:sz w:val="20"/>
          <w:szCs w:val="20"/>
        </w:rPr>
        <w:t>12105).</w:t>
      </w:r>
    </w:p>
    <w:p w:rsidR="00D509AB" w:rsidRPr="00AF5841" w:rsidRDefault="00D509AB" w:rsidP="00D509AB">
      <w:pPr>
        <w:spacing w:line="360" w:lineRule="auto"/>
        <w:jc w:val="both"/>
        <w:rPr>
          <w:rFonts w:ascii="Arial" w:hAnsi="Arial" w:cs="Arial"/>
          <w:sz w:val="20"/>
          <w:szCs w:val="20"/>
        </w:rPr>
      </w:pPr>
      <w:r w:rsidRPr="00AF5841">
        <w:rPr>
          <w:rFonts w:ascii="Arial" w:hAnsi="Arial" w:cs="Arial"/>
          <w:sz w:val="20"/>
          <w:szCs w:val="20"/>
        </w:rPr>
        <w:t>Descripción:</w:t>
      </w:r>
    </w:p>
    <w:p w:rsidR="00644BFD" w:rsidRPr="00AF5841" w:rsidRDefault="00345540" w:rsidP="00644BFD">
      <w:pPr>
        <w:spacing w:line="360" w:lineRule="auto"/>
        <w:jc w:val="both"/>
        <w:rPr>
          <w:rFonts w:ascii="Arial" w:hAnsi="Arial" w:cs="Arial"/>
          <w:sz w:val="20"/>
          <w:szCs w:val="20"/>
        </w:rPr>
      </w:pPr>
      <w:r>
        <w:rPr>
          <w:rFonts w:ascii="Arial" w:hAnsi="Arial" w:cs="Arial"/>
          <w:sz w:val="20"/>
          <w:szCs w:val="20"/>
        </w:rPr>
        <w:t>Realizar</w:t>
      </w:r>
      <w:r w:rsidR="00644BFD" w:rsidRPr="00AF5841">
        <w:rPr>
          <w:rFonts w:ascii="Arial" w:hAnsi="Arial" w:cs="Arial"/>
          <w:sz w:val="20"/>
          <w:szCs w:val="20"/>
        </w:rPr>
        <w:t xml:space="preserve"> conciertos pro</w:t>
      </w:r>
      <w:r>
        <w:rPr>
          <w:rFonts w:ascii="Arial" w:hAnsi="Arial" w:cs="Arial"/>
          <w:sz w:val="20"/>
          <w:szCs w:val="20"/>
        </w:rPr>
        <w:t>gramados en las Temporadas XX</w:t>
      </w:r>
      <w:r w:rsidR="002A7404">
        <w:rPr>
          <w:rFonts w:ascii="Arial" w:hAnsi="Arial" w:cs="Arial"/>
          <w:sz w:val="20"/>
          <w:szCs w:val="20"/>
        </w:rPr>
        <w:t>X</w:t>
      </w:r>
      <w:r>
        <w:rPr>
          <w:rFonts w:ascii="Arial" w:hAnsi="Arial" w:cs="Arial"/>
          <w:sz w:val="20"/>
          <w:szCs w:val="20"/>
        </w:rPr>
        <w:t>I</w:t>
      </w:r>
      <w:r w:rsidR="00387ED2">
        <w:rPr>
          <w:rFonts w:ascii="Arial" w:hAnsi="Arial" w:cs="Arial"/>
          <w:sz w:val="20"/>
          <w:szCs w:val="20"/>
        </w:rPr>
        <w:t>II</w:t>
      </w:r>
      <w:r w:rsidR="00644BFD">
        <w:rPr>
          <w:rFonts w:ascii="Arial" w:hAnsi="Arial" w:cs="Arial"/>
          <w:sz w:val="20"/>
          <w:szCs w:val="20"/>
        </w:rPr>
        <w:t xml:space="preserve"> </w:t>
      </w:r>
      <w:r>
        <w:rPr>
          <w:rFonts w:ascii="Arial" w:hAnsi="Arial" w:cs="Arial"/>
          <w:sz w:val="20"/>
          <w:szCs w:val="20"/>
        </w:rPr>
        <w:t xml:space="preserve">Enero-Junio </w:t>
      </w:r>
      <w:r w:rsidR="00644BFD">
        <w:rPr>
          <w:rFonts w:ascii="Arial" w:hAnsi="Arial" w:cs="Arial"/>
          <w:sz w:val="20"/>
          <w:szCs w:val="20"/>
        </w:rPr>
        <w:t>y XX</w:t>
      </w:r>
      <w:r w:rsidR="002A7404">
        <w:rPr>
          <w:rFonts w:ascii="Arial" w:hAnsi="Arial" w:cs="Arial"/>
          <w:sz w:val="20"/>
          <w:szCs w:val="20"/>
        </w:rPr>
        <w:t>X</w:t>
      </w:r>
      <w:r w:rsidR="00387ED2">
        <w:rPr>
          <w:rFonts w:ascii="Arial" w:hAnsi="Arial" w:cs="Arial"/>
          <w:sz w:val="20"/>
          <w:szCs w:val="20"/>
        </w:rPr>
        <w:t>IV</w:t>
      </w:r>
      <w:r>
        <w:rPr>
          <w:rFonts w:ascii="Arial" w:hAnsi="Arial" w:cs="Arial"/>
          <w:sz w:val="20"/>
          <w:szCs w:val="20"/>
        </w:rPr>
        <w:t xml:space="preserve"> Septiembre-Diciembre</w:t>
      </w:r>
      <w:r w:rsidR="002A7404">
        <w:rPr>
          <w:rFonts w:ascii="Arial" w:hAnsi="Arial" w:cs="Arial"/>
          <w:sz w:val="20"/>
          <w:szCs w:val="20"/>
        </w:rPr>
        <w:t xml:space="preserve"> </w:t>
      </w:r>
      <w:r w:rsidR="00387ED2">
        <w:rPr>
          <w:rFonts w:ascii="Arial" w:hAnsi="Arial" w:cs="Arial"/>
          <w:sz w:val="20"/>
          <w:szCs w:val="20"/>
        </w:rPr>
        <w:t>2020</w:t>
      </w:r>
      <w:r>
        <w:rPr>
          <w:rFonts w:ascii="Arial" w:hAnsi="Arial" w:cs="Arial"/>
          <w:sz w:val="20"/>
          <w:szCs w:val="20"/>
        </w:rPr>
        <w:t xml:space="preserve"> de la Orquesta Sinfónica de Yucatán, brindando al público </w:t>
      </w:r>
      <w:r w:rsidR="00644BFD" w:rsidRPr="00AF5841">
        <w:rPr>
          <w:rFonts w:ascii="Arial" w:hAnsi="Arial" w:cs="Arial"/>
          <w:sz w:val="20"/>
          <w:szCs w:val="20"/>
        </w:rPr>
        <w:t>yucateco</w:t>
      </w:r>
      <w:r>
        <w:rPr>
          <w:rFonts w:ascii="Arial" w:hAnsi="Arial" w:cs="Arial"/>
          <w:sz w:val="20"/>
          <w:szCs w:val="20"/>
        </w:rPr>
        <w:t xml:space="preserve"> una opción artística de calidad interpretativa</w:t>
      </w:r>
      <w:r w:rsidR="00644BFD" w:rsidRPr="00AF5841">
        <w:rPr>
          <w:rFonts w:ascii="Arial" w:hAnsi="Arial" w:cs="Arial"/>
          <w:sz w:val="20"/>
          <w:szCs w:val="20"/>
        </w:rPr>
        <w:t>,</w:t>
      </w:r>
      <w:r>
        <w:rPr>
          <w:rFonts w:ascii="Arial" w:hAnsi="Arial" w:cs="Arial"/>
          <w:sz w:val="20"/>
          <w:szCs w:val="20"/>
        </w:rPr>
        <w:t xml:space="preserve"> con la participación de</w:t>
      </w:r>
      <w:r w:rsidR="00644BFD" w:rsidRPr="00AF5841">
        <w:rPr>
          <w:rFonts w:ascii="Arial" w:hAnsi="Arial" w:cs="Arial"/>
          <w:sz w:val="20"/>
          <w:szCs w:val="20"/>
        </w:rPr>
        <w:t xml:space="preserve"> músicos y directores artísticos lo</w:t>
      </w:r>
      <w:r>
        <w:rPr>
          <w:rFonts w:ascii="Arial" w:hAnsi="Arial" w:cs="Arial"/>
          <w:sz w:val="20"/>
          <w:szCs w:val="20"/>
        </w:rPr>
        <w:t>cales, nacionales y extranjeros. Promover y llevar a cabo</w:t>
      </w:r>
      <w:r w:rsidR="007C0393">
        <w:rPr>
          <w:rFonts w:ascii="Arial" w:hAnsi="Arial" w:cs="Arial"/>
          <w:sz w:val="20"/>
          <w:szCs w:val="20"/>
        </w:rPr>
        <w:t xml:space="preserve"> las funciones de </w:t>
      </w:r>
      <w:r w:rsidR="00644BFD" w:rsidRPr="00AF5841">
        <w:rPr>
          <w:rFonts w:ascii="Arial" w:hAnsi="Arial" w:cs="Arial"/>
          <w:sz w:val="20"/>
          <w:szCs w:val="20"/>
        </w:rPr>
        <w:t xml:space="preserve">ópera </w:t>
      </w:r>
      <w:r w:rsidR="007C0393">
        <w:rPr>
          <w:rFonts w:ascii="Arial" w:hAnsi="Arial" w:cs="Arial"/>
          <w:sz w:val="20"/>
          <w:szCs w:val="20"/>
        </w:rPr>
        <w:t xml:space="preserve">programadas, </w:t>
      </w:r>
      <w:r w:rsidR="00644BFD" w:rsidRPr="00AF5841">
        <w:rPr>
          <w:rFonts w:ascii="Arial" w:hAnsi="Arial" w:cs="Arial"/>
          <w:sz w:val="20"/>
          <w:szCs w:val="20"/>
        </w:rPr>
        <w:t xml:space="preserve">conjuntando las disciplinas </w:t>
      </w:r>
      <w:r w:rsidR="007C0393">
        <w:rPr>
          <w:rFonts w:ascii="Arial" w:hAnsi="Arial" w:cs="Arial"/>
          <w:sz w:val="20"/>
          <w:szCs w:val="20"/>
        </w:rPr>
        <w:t>artísticas, como la musical y la escénica.</w:t>
      </w:r>
      <w:r w:rsidR="00644BFD">
        <w:rPr>
          <w:rFonts w:ascii="Arial" w:hAnsi="Arial" w:cs="Arial"/>
          <w:sz w:val="20"/>
          <w:szCs w:val="20"/>
        </w:rPr>
        <w:t xml:space="preserve"> </w:t>
      </w:r>
      <w:r w:rsidR="007C0393">
        <w:rPr>
          <w:rFonts w:ascii="Arial" w:hAnsi="Arial" w:cs="Arial"/>
          <w:sz w:val="20"/>
          <w:szCs w:val="20"/>
        </w:rPr>
        <w:t>Realizar</w:t>
      </w:r>
      <w:r w:rsidR="00644BFD" w:rsidRPr="00AF5841">
        <w:rPr>
          <w:rFonts w:ascii="Arial" w:hAnsi="Arial" w:cs="Arial"/>
          <w:sz w:val="20"/>
          <w:szCs w:val="20"/>
        </w:rPr>
        <w:t xml:space="preserve"> campañas de difusión y promoción de la Or</w:t>
      </w:r>
      <w:r w:rsidR="007C0393">
        <w:rPr>
          <w:rFonts w:ascii="Arial" w:hAnsi="Arial" w:cs="Arial"/>
          <w:sz w:val="20"/>
          <w:szCs w:val="20"/>
        </w:rPr>
        <w:t>questa Sinfónica de Yucatán. Proporcionar los insumos artísticos necesarios para la realización de los eventos de</w:t>
      </w:r>
      <w:r w:rsidR="00644BFD" w:rsidRPr="00AF5841">
        <w:rPr>
          <w:rFonts w:ascii="Arial" w:hAnsi="Arial" w:cs="Arial"/>
          <w:sz w:val="20"/>
          <w:szCs w:val="20"/>
        </w:rPr>
        <w:t xml:space="preserve"> la Orquesta.</w:t>
      </w:r>
      <w:r w:rsidR="007C0393">
        <w:rPr>
          <w:rFonts w:ascii="Arial" w:hAnsi="Arial" w:cs="Arial"/>
          <w:sz w:val="20"/>
          <w:szCs w:val="20"/>
        </w:rPr>
        <w:t xml:space="preserve"> Acercar a los jóvenes estudiantes a una expresión artí</w:t>
      </w:r>
      <w:r w:rsidR="005E6EA9">
        <w:rPr>
          <w:rFonts w:ascii="Arial" w:hAnsi="Arial" w:cs="Arial"/>
          <w:sz w:val="20"/>
          <w:szCs w:val="20"/>
        </w:rPr>
        <w:t>stica de calidad, a través del P</w:t>
      </w:r>
      <w:r w:rsidR="007C0393">
        <w:rPr>
          <w:rFonts w:ascii="Arial" w:hAnsi="Arial" w:cs="Arial"/>
          <w:sz w:val="20"/>
          <w:szCs w:val="20"/>
        </w:rPr>
        <w:t xml:space="preserve">rograma </w:t>
      </w:r>
      <w:proofErr w:type="spellStart"/>
      <w:r w:rsidR="005E6EA9">
        <w:rPr>
          <w:rFonts w:ascii="Arial" w:hAnsi="Arial" w:cs="Arial"/>
          <w:sz w:val="20"/>
          <w:szCs w:val="20"/>
        </w:rPr>
        <w:t>S</w:t>
      </w:r>
      <w:r w:rsidR="007C0393">
        <w:rPr>
          <w:rFonts w:ascii="Arial" w:hAnsi="Arial" w:cs="Arial"/>
          <w:sz w:val="20"/>
          <w:szCs w:val="20"/>
        </w:rPr>
        <w:t>infonízate</w:t>
      </w:r>
      <w:proofErr w:type="spellEnd"/>
      <w:r w:rsidR="007C0393">
        <w:rPr>
          <w:rFonts w:ascii="Arial" w:hAnsi="Arial" w:cs="Arial"/>
          <w:sz w:val="20"/>
          <w:szCs w:val="20"/>
        </w:rPr>
        <w:t>, el cual consiste en la asistencia de dichos jóvenes a los ensayos generales de cada programa de la Orquesta.</w:t>
      </w:r>
    </w:p>
    <w:p w:rsidR="00D509AB" w:rsidRPr="00AF5841" w:rsidRDefault="00D509AB" w:rsidP="00D509AB">
      <w:pPr>
        <w:spacing w:line="360" w:lineRule="auto"/>
        <w:jc w:val="both"/>
        <w:rPr>
          <w:rFonts w:ascii="Arial" w:hAnsi="Arial" w:cs="Arial"/>
          <w:sz w:val="20"/>
          <w:szCs w:val="20"/>
        </w:rPr>
      </w:pPr>
    </w:p>
    <w:p w:rsidR="00D509AB" w:rsidRPr="00AF5841" w:rsidRDefault="00D509AB" w:rsidP="00D509AB">
      <w:pPr>
        <w:spacing w:line="360" w:lineRule="auto"/>
        <w:jc w:val="both"/>
        <w:rPr>
          <w:rFonts w:ascii="Arial" w:hAnsi="Arial" w:cs="Arial"/>
          <w:sz w:val="20"/>
          <w:szCs w:val="20"/>
        </w:rPr>
      </w:pPr>
      <w:r w:rsidRPr="00AF5841">
        <w:rPr>
          <w:rFonts w:ascii="Arial" w:hAnsi="Arial" w:cs="Arial"/>
          <w:sz w:val="20"/>
          <w:szCs w:val="20"/>
        </w:rPr>
        <w:t>Problema específico a atender:</w:t>
      </w:r>
    </w:p>
    <w:p w:rsidR="00D509AB" w:rsidRPr="00AF5841" w:rsidRDefault="00F12F0B" w:rsidP="00D509AB">
      <w:pPr>
        <w:spacing w:line="360" w:lineRule="auto"/>
        <w:jc w:val="both"/>
        <w:rPr>
          <w:rFonts w:ascii="Arial" w:hAnsi="Arial" w:cs="Arial"/>
          <w:sz w:val="20"/>
          <w:szCs w:val="20"/>
        </w:rPr>
      </w:pPr>
      <w:r>
        <w:rPr>
          <w:rFonts w:ascii="Arial" w:hAnsi="Arial" w:cs="Arial"/>
          <w:sz w:val="20"/>
          <w:szCs w:val="20"/>
        </w:rPr>
        <w:t>Durante el ejercicio 2020</w:t>
      </w:r>
      <w:r w:rsidR="00644BFD">
        <w:rPr>
          <w:rFonts w:ascii="Arial" w:hAnsi="Arial" w:cs="Arial"/>
          <w:sz w:val="20"/>
          <w:szCs w:val="20"/>
        </w:rPr>
        <w:t>, la asistencia promedio por concierto de la Orquesta</w:t>
      </w:r>
      <w:r>
        <w:rPr>
          <w:rFonts w:ascii="Arial" w:hAnsi="Arial" w:cs="Arial"/>
          <w:sz w:val="20"/>
          <w:szCs w:val="20"/>
        </w:rPr>
        <w:t xml:space="preserve"> Sinfónica de Yucatán fue de 747 </w:t>
      </w:r>
      <w:r w:rsidR="007C0393">
        <w:rPr>
          <w:rFonts w:ascii="Arial" w:hAnsi="Arial" w:cs="Arial"/>
          <w:sz w:val="20"/>
          <w:szCs w:val="20"/>
        </w:rPr>
        <w:t>personas, ha sido notorio</w:t>
      </w:r>
      <w:r w:rsidR="00C47DE6">
        <w:rPr>
          <w:rFonts w:ascii="Arial" w:hAnsi="Arial" w:cs="Arial"/>
          <w:sz w:val="20"/>
          <w:szCs w:val="20"/>
        </w:rPr>
        <w:t xml:space="preserve"> </w:t>
      </w:r>
      <w:r w:rsidR="007C0393">
        <w:rPr>
          <w:rFonts w:ascii="Arial" w:hAnsi="Arial" w:cs="Arial"/>
          <w:sz w:val="20"/>
          <w:szCs w:val="20"/>
        </w:rPr>
        <w:t xml:space="preserve">el incremento en la demanda de los boletos para asistir a los eventos de la Orquesta </w:t>
      </w:r>
      <w:r w:rsidR="007C0393">
        <w:rPr>
          <w:rFonts w:ascii="Arial" w:hAnsi="Arial" w:cs="Arial"/>
          <w:sz w:val="20"/>
          <w:szCs w:val="20"/>
        </w:rPr>
        <w:lastRenderedPageBreak/>
        <w:t xml:space="preserve">Sinfónica de Yucatán, sin embargo, esta Entidad busca todavía una mayor penetración en el gusto de la comunidad yucateca; es por eso que emprenden más y mejores acciones de difusión </w:t>
      </w:r>
      <w:r w:rsidR="00644BFD" w:rsidRPr="00AF5841">
        <w:rPr>
          <w:rFonts w:ascii="Arial" w:hAnsi="Arial" w:cs="Arial"/>
          <w:sz w:val="20"/>
          <w:szCs w:val="20"/>
        </w:rPr>
        <w:t xml:space="preserve">y promoción </w:t>
      </w:r>
      <w:r w:rsidR="00644BFD">
        <w:rPr>
          <w:rFonts w:ascii="Arial" w:hAnsi="Arial" w:cs="Arial"/>
          <w:sz w:val="20"/>
          <w:szCs w:val="20"/>
        </w:rPr>
        <w:t>de</w:t>
      </w:r>
      <w:r w:rsidR="007C0393">
        <w:rPr>
          <w:rFonts w:ascii="Arial" w:hAnsi="Arial" w:cs="Arial"/>
          <w:sz w:val="20"/>
          <w:szCs w:val="20"/>
        </w:rPr>
        <w:t xml:space="preserve"> la</w:t>
      </w:r>
      <w:r w:rsidR="00644BFD">
        <w:rPr>
          <w:rFonts w:ascii="Arial" w:hAnsi="Arial" w:cs="Arial"/>
          <w:sz w:val="20"/>
          <w:szCs w:val="20"/>
        </w:rPr>
        <w:t xml:space="preserve"> música académica </w:t>
      </w:r>
      <w:r w:rsidR="007C0393">
        <w:rPr>
          <w:rFonts w:ascii="Arial" w:hAnsi="Arial" w:cs="Arial"/>
          <w:sz w:val="20"/>
          <w:szCs w:val="20"/>
        </w:rPr>
        <w:t>para lograr una mayor asistencia a</w:t>
      </w:r>
      <w:r w:rsidR="00644BFD" w:rsidRPr="00AF5841">
        <w:rPr>
          <w:rFonts w:ascii="Arial" w:hAnsi="Arial" w:cs="Arial"/>
          <w:sz w:val="20"/>
          <w:szCs w:val="20"/>
        </w:rPr>
        <w:t xml:space="preserve"> los conciertos de la Orquesta Sinfónica de Yucatán y </w:t>
      </w:r>
      <w:r w:rsidR="00C47DE6">
        <w:rPr>
          <w:rFonts w:ascii="Arial" w:hAnsi="Arial" w:cs="Arial"/>
          <w:sz w:val="20"/>
          <w:szCs w:val="20"/>
        </w:rPr>
        <w:t>que los</w:t>
      </w:r>
      <w:r w:rsidR="007C0393">
        <w:rPr>
          <w:rFonts w:ascii="Arial" w:hAnsi="Arial" w:cs="Arial"/>
          <w:sz w:val="20"/>
          <w:szCs w:val="20"/>
        </w:rPr>
        <w:t xml:space="preserve"> mismos </w:t>
      </w:r>
      <w:r w:rsidR="00C47DE6">
        <w:rPr>
          <w:rFonts w:ascii="Arial" w:hAnsi="Arial" w:cs="Arial"/>
          <w:sz w:val="20"/>
          <w:szCs w:val="20"/>
        </w:rPr>
        <w:t xml:space="preserve">se realicen </w:t>
      </w:r>
      <w:r w:rsidR="00644BFD" w:rsidRPr="00AF5841">
        <w:rPr>
          <w:rFonts w:ascii="Arial" w:hAnsi="Arial" w:cs="Arial"/>
          <w:sz w:val="20"/>
          <w:szCs w:val="20"/>
        </w:rPr>
        <w:t>con la mejor calidad pos</w:t>
      </w:r>
      <w:r w:rsidR="00C47DE6">
        <w:rPr>
          <w:rFonts w:ascii="Arial" w:hAnsi="Arial" w:cs="Arial"/>
          <w:sz w:val="20"/>
          <w:szCs w:val="20"/>
        </w:rPr>
        <w:t>ible, contribuyendo a promover los</w:t>
      </w:r>
      <w:r w:rsidR="00644BFD" w:rsidRPr="00AF5841">
        <w:rPr>
          <w:rFonts w:ascii="Arial" w:hAnsi="Arial" w:cs="Arial"/>
          <w:sz w:val="20"/>
          <w:szCs w:val="20"/>
        </w:rPr>
        <w:t xml:space="preserve"> talentos nacionales e internacionales</w:t>
      </w:r>
      <w:r w:rsidR="00C47DE6">
        <w:rPr>
          <w:rFonts w:ascii="Arial" w:hAnsi="Arial" w:cs="Arial"/>
          <w:sz w:val="20"/>
          <w:szCs w:val="20"/>
        </w:rPr>
        <w:t>.</w:t>
      </w:r>
      <w:r w:rsidR="00644BFD" w:rsidRPr="00AF5841">
        <w:rPr>
          <w:rFonts w:ascii="Arial" w:hAnsi="Arial" w:cs="Arial"/>
          <w:sz w:val="20"/>
          <w:szCs w:val="20"/>
        </w:rPr>
        <w:t xml:space="preserve"> </w:t>
      </w:r>
      <w:r w:rsidR="00C47DE6">
        <w:rPr>
          <w:rFonts w:ascii="Arial" w:hAnsi="Arial" w:cs="Arial"/>
          <w:sz w:val="20"/>
          <w:szCs w:val="20"/>
        </w:rPr>
        <w:t>La Orquesta proporciona</w:t>
      </w:r>
      <w:r w:rsidR="00644BFD" w:rsidRPr="00AF5841">
        <w:rPr>
          <w:rFonts w:ascii="Arial" w:hAnsi="Arial" w:cs="Arial"/>
          <w:sz w:val="20"/>
          <w:szCs w:val="20"/>
        </w:rPr>
        <w:t xml:space="preserve"> un espacio de desarrollo </w:t>
      </w:r>
      <w:r w:rsidR="00C47DE6">
        <w:rPr>
          <w:rFonts w:ascii="Arial" w:hAnsi="Arial" w:cs="Arial"/>
          <w:sz w:val="20"/>
          <w:szCs w:val="20"/>
        </w:rPr>
        <w:t xml:space="preserve">para  músicos </w:t>
      </w:r>
      <w:r w:rsidR="00644BFD" w:rsidRPr="00AF5841">
        <w:rPr>
          <w:rFonts w:ascii="Arial" w:hAnsi="Arial" w:cs="Arial"/>
          <w:sz w:val="20"/>
          <w:szCs w:val="20"/>
        </w:rPr>
        <w:t>locales</w:t>
      </w:r>
      <w:r w:rsidR="00644BFD">
        <w:rPr>
          <w:rFonts w:ascii="Arial" w:hAnsi="Arial" w:cs="Arial"/>
          <w:sz w:val="20"/>
          <w:szCs w:val="20"/>
        </w:rPr>
        <w:t xml:space="preserve"> </w:t>
      </w:r>
      <w:r w:rsidR="00C47DE6">
        <w:rPr>
          <w:rFonts w:ascii="Arial" w:hAnsi="Arial" w:cs="Arial"/>
          <w:sz w:val="20"/>
          <w:szCs w:val="20"/>
        </w:rPr>
        <w:t>y ofrece</w:t>
      </w:r>
      <w:r w:rsidR="00644BFD">
        <w:rPr>
          <w:rFonts w:ascii="Arial" w:hAnsi="Arial" w:cs="Arial"/>
          <w:sz w:val="20"/>
          <w:szCs w:val="20"/>
        </w:rPr>
        <w:t xml:space="preserve"> eventos culturales de alto nivel para</w:t>
      </w:r>
      <w:r w:rsidR="00C47DE6">
        <w:rPr>
          <w:rFonts w:ascii="Arial" w:hAnsi="Arial" w:cs="Arial"/>
          <w:sz w:val="20"/>
          <w:szCs w:val="20"/>
        </w:rPr>
        <w:t xml:space="preserve"> beneficio de la sociedad yucateca.</w:t>
      </w:r>
      <w:r w:rsidR="00644BFD">
        <w:rPr>
          <w:rFonts w:ascii="Arial" w:hAnsi="Arial" w:cs="Arial"/>
          <w:sz w:val="20"/>
          <w:szCs w:val="20"/>
        </w:rPr>
        <w:t xml:space="preserve"> </w:t>
      </w:r>
      <w:r w:rsidR="00C47DE6">
        <w:rPr>
          <w:rFonts w:ascii="Arial" w:hAnsi="Arial" w:cs="Arial"/>
          <w:sz w:val="20"/>
          <w:szCs w:val="20"/>
        </w:rPr>
        <w:t>E</w:t>
      </w:r>
      <w:r w:rsidR="00644BFD">
        <w:rPr>
          <w:rFonts w:ascii="Arial" w:hAnsi="Arial" w:cs="Arial"/>
          <w:sz w:val="20"/>
          <w:szCs w:val="20"/>
        </w:rPr>
        <w:t>l</w:t>
      </w:r>
      <w:r w:rsidR="00C47DE6">
        <w:rPr>
          <w:rFonts w:ascii="Arial" w:hAnsi="Arial" w:cs="Arial"/>
          <w:sz w:val="20"/>
          <w:szCs w:val="20"/>
        </w:rPr>
        <w:t xml:space="preserve"> propósito de incrementar a un 3</w:t>
      </w:r>
      <w:r w:rsidR="00644BFD">
        <w:rPr>
          <w:rFonts w:ascii="Arial" w:hAnsi="Arial" w:cs="Arial"/>
          <w:sz w:val="20"/>
          <w:szCs w:val="20"/>
        </w:rPr>
        <w:t xml:space="preserve">% </w:t>
      </w:r>
      <w:r w:rsidR="00C47DE6">
        <w:rPr>
          <w:rFonts w:ascii="Arial" w:hAnsi="Arial" w:cs="Arial"/>
          <w:sz w:val="20"/>
          <w:szCs w:val="20"/>
        </w:rPr>
        <w:t xml:space="preserve">la </w:t>
      </w:r>
      <w:r w:rsidR="00644BFD">
        <w:rPr>
          <w:rFonts w:ascii="Arial" w:hAnsi="Arial" w:cs="Arial"/>
          <w:sz w:val="20"/>
          <w:szCs w:val="20"/>
        </w:rPr>
        <w:t>asistencia promedio</w:t>
      </w:r>
      <w:r w:rsidR="00C47DE6">
        <w:rPr>
          <w:rFonts w:ascii="Arial" w:hAnsi="Arial" w:cs="Arial"/>
          <w:sz w:val="20"/>
          <w:szCs w:val="20"/>
        </w:rPr>
        <w:t xml:space="preserve"> a los eventos </w:t>
      </w:r>
      <w:r w:rsidR="00644BFD">
        <w:rPr>
          <w:rFonts w:ascii="Arial" w:hAnsi="Arial" w:cs="Arial"/>
          <w:sz w:val="20"/>
          <w:szCs w:val="20"/>
        </w:rPr>
        <w:t>de la Orquesta Sinfónica de Yucatán</w:t>
      </w:r>
      <w:r>
        <w:rPr>
          <w:rFonts w:ascii="Arial" w:hAnsi="Arial" w:cs="Arial"/>
          <w:sz w:val="20"/>
          <w:szCs w:val="20"/>
        </w:rPr>
        <w:t xml:space="preserve"> para el ejercicio 2020</w:t>
      </w:r>
      <w:r w:rsidR="00D509AB" w:rsidRPr="00AF5841">
        <w:rPr>
          <w:rFonts w:ascii="Arial" w:hAnsi="Arial" w:cs="Arial"/>
          <w:sz w:val="20"/>
          <w:szCs w:val="20"/>
        </w:rPr>
        <w:t>.</w:t>
      </w:r>
    </w:p>
    <w:p w:rsidR="00D509AB" w:rsidRDefault="00D509AB" w:rsidP="00D509AB">
      <w:pPr>
        <w:spacing w:line="360" w:lineRule="auto"/>
        <w:jc w:val="both"/>
        <w:rPr>
          <w:rFonts w:ascii="Arial" w:hAnsi="Arial" w:cs="Arial"/>
          <w:sz w:val="20"/>
          <w:szCs w:val="20"/>
        </w:rPr>
      </w:pPr>
    </w:p>
    <w:p w:rsidR="00D509AB" w:rsidRPr="00AF5841" w:rsidRDefault="00D509AB" w:rsidP="00D509AB">
      <w:pPr>
        <w:spacing w:line="360" w:lineRule="auto"/>
        <w:jc w:val="both"/>
        <w:rPr>
          <w:rFonts w:ascii="Arial" w:hAnsi="Arial" w:cs="Arial"/>
          <w:sz w:val="20"/>
          <w:szCs w:val="20"/>
        </w:rPr>
      </w:pPr>
      <w:r w:rsidRPr="00AF5841">
        <w:rPr>
          <w:rFonts w:ascii="Arial" w:hAnsi="Arial" w:cs="Arial"/>
          <w:sz w:val="20"/>
          <w:szCs w:val="20"/>
        </w:rPr>
        <w:t xml:space="preserve">Objetivo: </w:t>
      </w:r>
    </w:p>
    <w:p w:rsidR="00D509AB" w:rsidRPr="00AF5841" w:rsidRDefault="00644BFD" w:rsidP="00D509AB">
      <w:pPr>
        <w:spacing w:line="360" w:lineRule="auto"/>
        <w:jc w:val="both"/>
        <w:rPr>
          <w:rFonts w:ascii="Arial" w:hAnsi="Arial" w:cs="Arial"/>
          <w:sz w:val="20"/>
          <w:szCs w:val="20"/>
        </w:rPr>
      </w:pPr>
      <w:r w:rsidRPr="00AF5841">
        <w:rPr>
          <w:rFonts w:ascii="Arial" w:hAnsi="Arial" w:cs="Arial"/>
          <w:sz w:val="20"/>
          <w:szCs w:val="20"/>
        </w:rPr>
        <w:t>La comunidad artística, creadores y población en general asisten y recibe una mayor riqueza cultural y artística del Estado mediante los conciertos de la Orquesta Sinfónica de Yucatán</w:t>
      </w:r>
      <w:r w:rsidR="00D509AB" w:rsidRPr="00AF5841">
        <w:rPr>
          <w:rFonts w:ascii="Arial" w:hAnsi="Arial" w:cs="Arial"/>
          <w:sz w:val="20"/>
          <w:szCs w:val="20"/>
        </w:rPr>
        <w:t>.</w:t>
      </w:r>
    </w:p>
    <w:p w:rsidR="00D509AB" w:rsidRDefault="00D509AB" w:rsidP="00D509AB">
      <w:pPr>
        <w:spacing w:line="360" w:lineRule="auto"/>
        <w:jc w:val="both"/>
        <w:rPr>
          <w:rFonts w:ascii="Arial" w:hAnsi="Arial" w:cs="Arial"/>
          <w:sz w:val="20"/>
          <w:szCs w:val="20"/>
        </w:rPr>
      </w:pPr>
    </w:p>
    <w:p w:rsidR="00D509AB" w:rsidRDefault="00D509AB" w:rsidP="00D509AB">
      <w:pPr>
        <w:spacing w:line="360" w:lineRule="auto"/>
        <w:jc w:val="both"/>
        <w:rPr>
          <w:rFonts w:ascii="Arial" w:hAnsi="Arial" w:cs="Arial"/>
          <w:sz w:val="20"/>
          <w:szCs w:val="20"/>
        </w:rPr>
      </w:pPr>
      <w:r w:rsidRPr="00AF5841">
        <w:rPr>
          <w:rFonts w:ascii="Arial" w:hAnsi="Arial" w:cs="Arial"/>
          <w:sz w:val="20"/>
          <w:szCs w:val="20"/>
        </w:rPr>
        <w:t>A continuación se describe el indicador y la comparación de la meta que se desea alcanzar en el ejercicio 2</w:t>
      </w:r>
      <w:r w:rsidR="00387ED2">
        <w:rPr>
          <w:rFonts w:ascii="Arial" w:hAnsi="Arial" w:cs="Arial"/>
          <w:sz w:val="20"/>
          <w:szCs w:val="20"/>
        </w:rPr>
        <w:t>020</w:t>
      </w:r>
      <w:r w:rsidRPr="00AF5841">
        <w:rPr>
          <w:rFonts w:ascii="Arial" w:hAnsi="Arial" w:cs="Arial"/>
          <w:sz w:val="20"/>
          <w:szCs w:val="20"/>
        </w:rPr>
        <w:t xml:space="preserve"> y el resultado obtenido por el período del </w:t>
      </w:r>
      <w:r w:rsidR="00D73F84">
        <w:rPr>
          <w:rFonts w:ascii="Arial" w:hAnsi="Arial" w:cs="Arial"/>
          <w:sz w:val="20"/>
          <w:szCs w:val="20"/>
        </w:rPr>
        <w:t>1</w:t>
      </w:r>
      <w:r w:rsidR="00387ED2">
        <w:rPr>
          <w:rFonts w:ascii="Arial" w:hAnsi="Arial" w:cs="Arial"/>
          <w:sz w:val="20"/>
          <w:szCs w:val="20"/>
        </w:rPr>
        <w:t xml:space="preserve"> </w:t>
      </w:r>
      <w:r w:rsidR="00A3760A">
        <w:rPr>
          <w:rFonts w:ascii="Arial" w:hAnsi="Arial" w:cs="Arial"/>
          <w:sz w:val="20"/>
          <w:szCs w:val="20"/>
        </w:rPr>
        <w:t>de Enero al 31</w:t>
      </w:r>
      <w:r w:rsidR="00D73F84">
        <w:rPr>
          <w:rFonts w:ascii="Arial" w:hAnsi="Arial" w:cs="Arial"/>
          <w:sz w:val="20"/>
          <w:szCs w:val="20"/>
        </w:rPr>
        <w:t xml:space="preserve"> </w:t>
      </w:r>
      <w:r w:rsidR="00890EC0">
        <w:rPr>
          <w:rFonts w:ascii="Arial" w:hAnsi="Arial" w:cs="Arial"/>
          <w:sz w:val="20"/>
          <w:szCs w:val="20"/>
        </w:rPr>
        <w:t xml:space="preserve">de </w:t>
      </w:r>
      <w:r w:rsidR="00A3760A">
        <w:rPr>
          <w:rFonts w:ascii="Arial" w:hAnsi="Arial" w:cs="Arial"/>
          <w:sz w:val="20"/>
          <w:szCs w:val="20"/>
        </w:rPr>
        <w:t>Dic</w:t>
      </w:r>
      <w:r w:rsidR="0073563A">
        <w:rPr>
          <w:rFonts w:ascii="Arial" w:hAnsi="Arial" w:cs="Arial"/>
          <w:sz w:val="20"/>
          <w:szCs w:val="20"/>
        </w:rPr>
        <w:t>iem</w:t>
      </w:r>
      <w:r w:rsidR="00B4297F">
        <w:rPr>
          <w:rFonts w:ascii="Arial" w:hAnsi="Arial" w:cs="Arial"/>
          <w:sz w:val="20"/>
          <w:szCs w:val="20"/>
        </w:rPr>
        <w:t>bre</w:t>
      </w:r>
      <w:r w:rsidR="00890EC0">
        <w:rPr>
          <w:rFonts w:ascii="Arial" w:hAnsi="Arial" w:cs="Arial"/>
          <w:sz w:val="20"/>
          <w:szCs w:val="20"/>
        </w:rPr>
        <w:t xml:space="preserve"> </w:t>
      </w:r>
      <w:r w:rsidR="00387ED2">
        <w:rPr>
          <w:rFonts w:ascii="Arial" w:hAnsi="Arial" w:cs="Arial"/>
          <w:sz w:val="20"/>
          <w:szCs w:val="20"/>
        </w:rPr>
        <w:t>de 2020</w:t>
      </w:r>
      <w:r w:rsidRPr="00AF5841">
        <w:rPr>
          <w:rFonts w:ascii="Arial" w:hAnsi="Arial" w:cs="Arial"/>
          <w:sz w:val="20"/>
          <w:szCs w:val="20"/>
        </w:rPr>
        <w:t>:</w:t>
      </w:r>
    </w:p>
    <w:p w:rsidR="00D509AB" w:rsidRPr="00AD0D16" w:rsidRDefault="00D509AB" w:rsidP="00D509AB">
      <w:pPr>
        <w:spacing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4286"/>
        <w:gridCol w:w="1540"/>
        <w:gridCol w:w="1540"/>
      </w:tblGrid>
      <w:tr w:rsidR="00D509AB" w:rsidRPr="005D0C7C" w:rsidTr="00D74363">
        <w:trPr>
          <w:jc w:val="center"/>
        </w:trPr>
        <w:tc>
          <w:tcPr>
            <w:tcW w:w="4286" w:type="dxa"/>
          </w:tcPr>
          <w:p w:rsidR="00D509AB" w:rsidRPr="00D509AB" w:rsidRDefault="00D509AB" w:rsidP="00D509AB">
            <w:pPr>
              <w:jc w:val="center"/>
              <w:rPr>
                <w:rFonts w:ascii="Arial" w:hAnsi="Arial" w:cs="Arial"/>
                <w:sz w:val="20"/>
                <w:szCs w:val="20"/>
              </w:rPr>
            </w:pPr>
            <w:r w:rsidRPr="00D509AB">
              <w:rPr>
                <w:rFonts w:ascii="Arial" w:hAnsi="Arial" w:cs="Arial"/>
                <w:sz w:val="20"/>
                <w:szCs w:val="20"/>
              </w:rPr>
              <w:t>Nombre de Indicadores</w:t>
            </w:r>
          </w:p>
        </w:tc>
        <w:tc>
          <w:tcPr>
            <w:tcW w:w="1540" w:type="dxa"/>
          </w:tcPr>
          <w:p w:rsidR="00D509AB" w:rsidRPr="00D509AB" w:rsidRDefault="00D509AB" w:rsidP="00D509AB">
            <w:pPr>
              <w:jc w:val="center"/>
              <w:rPr>
                <w:rFonts w:ascii="Arial" w:hAnsi="Arial" w:cs="Arial"/>
                <w:sz w:val="20"/>
                <w:szCs w:val="20"/>
              </w:rPr>
            </w:pPr>
            <w:r w:rsidRPr="00D509AB">
              <w:rPr>
                <w:rFonts w:ascii="Arial" w:hAnsi="Arial" w:cs="Arial"/>
                <w:sz w:val="20"/>
                <w:szCs w:val="20"/>
              </w:rPr>
              <w:t>Meta</w:t>
            </w:r>
          </w:p>
        </w:tc>
        <w:tc>
          <w:tcPr>
            <w:tcW w:w="1540" w:type="dxa"/>
          </w:tcPr>
          <w:p w:rsidR="00D509AB" w:rsidRPr="00D509AB" w:rsidRDefault="00D509AB" w:rsidP="00D509AB">
            <w:pPr>
              <w:jc w:val="center"/>
              <w:rPr>
                <w:rFonts w:ascii="Arial" w:hAnsi="Arial" w:cs="Arial"/>
                <w:sz w:val="20"/>
                <w:szCs w:val="20"/>
              </w:rPr>
            </w:pPr>
            <w:r w:rsidRPr="00D509AB">
              <w:rPr>
                <w:rFonts w:ascii="Arial" w:hAnsi="Arial" w:cs="Arial"/>
                <w:sz w:val="20"/>
                <w:szCs w:val="20"/>
              </w:rPr>
              <w:t>Resultado</w:t>
            </w:r>
          </w:p>
        </w:tc>
      </w:tr>
      <w:tr w:rsidR="00D509AB" w:rsidRPr="00192033" w:rsidTr="00D74363">
        <w:trPr>
          <w:jc w:val="center"/>
        </w:trPr>
        <w:tc>
          <w:tcPr>
            <w:tcW w:w="4286" w:type="dxa"/>
            <w:shd w:val="clear" w:color="auto" w:fill="auto"/>
          </w:tcPr>
          <w:p w:rsidR="00D509AB" w:rsidRPr="00D509AB" w:rsidRDefault="00D509AB" w:rsidP="00D509AB">
            <w:pPr>
              <w:rPr>
                <w:rFonts w:ascii="Arial" w:hAnsi="Arial" w:cs="Arial"/>
                <w:sz w:val="20"/>
                <w:szCs w:val="20"/>
              </w:rPr>
            </w:pPr>
            <w:r w:rsidRPr="00D509AB">
              <w:rPr>
                <w:rFonts w:ascii="Arial" w:hAnsi="Arial" w:cs="Arial"/>
                <w:sz w:val="20"/>
                <w:szCs w:val="20"/>
              </w:rPr>
              <w:t>Promedio de atención por unidad de servicio</w:t>
            </w:r>
          </w:p>
        </w:tc>
        <w:tc>
          <w:tcPr>
            <w:tcW w:w="1540" w:type="dxa"/>
            <w:shd w:val="clear" w:color="auto" w:fill="auto"/>
          </w:tcPr>
          <w:p w:rsidR="00D509AB" w:rsidRPr="00D509AB" w:rsidRDefault="00644BFD" w:rsidP="00D509AB">
            <w:pPr>
              <w:rPr>
                <w:rFonts w:ascii="Arial" w:hAnsi="Arial" w:cs="Arial"/>
                <w:sz w:val="20"/>
                <w:szCs w:val="20"/>
              </w:rPr>
            </w:pPr>
            <w:r>
              <w:rPr>
                <w:rFonts w:ascii="Arial" w:hAnsi="Arial" w:cs="Arial"/>
                <w:sz w:val="20"/>
                <w:szCs w:val="20"/>
              </w:rPr>
              <w:t xml:space="preserve">266 </w:t>
            </w:r>
            <w:r w:rsidR="00D509AB" w:rsidRPr="00D509AB">
              <w:rPr>
                <w:rFonts w:ascii="Arial" w:hAnsi="Arial" w:cs="Arial"/>
                <w:sz w:val="20"/>
                <w:szCs w:val="20"/>
              </w:rPr>
              <w:t>personas</w:t>
            </w:r>
          </w:p>
        </w:tc>
        <w:tc>
          <w:tcPr>
            <w:tcW w:w="1540" w:type="dxa"/>
            <w:shd w:val="clear" w:color="auto" w:fill="auto"/>
          </w:tcPr>
          <w:p w:rsidR="00D509AB" w:rsidRPr="00D509AB" w:rsidRDefault="00A3760A" w:rsidP="00D509AB">
            <w:pPr>
              <w:jc w:val="center"/>
              <w:rPr>
                <w:rFonts w:ascii="Arial" w:hAnsi="Arial" w:cs="Arial"/>
                <w:sz w:val="20"/>
                <w:szCs w:val="20"/>
              </w:rPr>
            </w:pPr>
            <w:r>
              <w:rPr>
                <w:rFonts w:ascii="Arial" w:hAnsi="Arial" w:cs="Arial"/>
                <w:sz w:val="20"/>
                <w:szCs w:val="20"/>
              </w:rPr>
              <w:t>77</w:t>
            </w:r>
            <w:r w:rsidR="0004353D">
              <w:rPr>
                <w:rFonts w:ascii="Arial" w:hAnsi="Arial" w:cs="Arial"/>
                <w:sz w:val="20"/>
                <w:szCs w:val="20"/>
              </w:rPr>
              <w:t>9</w:t>
            </w:r>
            <w:r w:rsidR="00D509AB" w:rsidRPr="00D509AB">
              <w:rPr>
                <w:rFonts w:ascii="Arial" w:hAnsi="Arial" w:cs="Arial"/>
                <w:sz w:val="20"/>
                <w:szCs w:val="20"/>
              </w:rPr>
              <w:t xml:space="preserve"> personas</w:t>
            </w:r>
          </w:p>
        </w:tc>
      </w:tr>
    </w:tbl>
    <w:p w:rsidR="00D509AB" w:rsidRPr="005D0C7C" w:rsidRDefault="00D509AB" w:rsidP="00D509AB">
      <w:pPr>
        <w:jc w:val="both"/>
        <w:rPr>
          <w:rFonts w:ascii="Arial" w:hAnsi="Arial" w:cs="Arial"/>
        </w:rPr>
      </w:pPr>
    </w:p>
    <w:p w:rsidR="00D509AB" w:rsidRDefault="00B0794A" w:rsidP="00B0794A">
      <w:pPr>
        <w:spacing w:line="360" w:lineRule="auto"/>
        <w:jc w:val="both"/>
        <w:rPr>
          <w:rFonts w:ascii="Arial" w:hAnsi="Arial" w:cs="Arial"/>
          <w:sz w:val="20"/>
          <w:szCs w:val="20"/>
        </w:rPr>
      </w:pPr>
      <w:r w:rsidRPr="00B0794A">
        <w:rPr>
          <w:rFonts w:ascii="Arial" w:hAnsi="Arial" w:cs="Arial"/>
          <w:sz w:val="20"/>
          <w:szCs w:val="20"/>
        </w:rPr>
        <w:t>Para llevar a cabo las actividades que fueron programadas por la Orquesta Sinfónica de Yucatán en el año 2</w:t>
      </w:r>
      <w:r w:rsidR="00387ED2">
        <w:rPr>
          <w:rFonts w:ascii="Arial" w:hAnsi="Arial" w:cs="Arial"/>
          <w:sz w:val="20"/>
          <w:szCs w:val="20"/>
        </w:rPr>
        <w:t>020</w:t>
      </w:r>
      <w:r w:rsidR="00164AB5">
        <w:rPr>
          <w:rFonts w:ascii="Arial" w:hAnsi="Arial" w:cs="Arial"/>
          <w:sz w:val="20"/>
          <w:szCs w:val="20"/>
        </w:rPr>
        <w:t xml:space="preserve">, se erogó la cantidad de $ </w:t>
      </w:r>
      <w:r w:rsidR="00A3760A">
        <w:rPr>
          <w:rFonts w:ascii="Arial" w:hAnsi="Arial" w:cs="Arial"/>
          <w:sz w:val="20"/>
          <w:szCs w:val="20"/>
        </w:rPr>
        <w:t>3,318,772</w:t>
      </w:r>
      <w:r w:rsidRPr="00B0794A">
        <w:rPr>
          <w:rFonts w:ascii="Arial" w:hAnsi="Arial" w:cs="Arial"/>
          <w:sz w:val="20"/>
          <w:szCs w:val="20"/>
        </w:rPr>
        <w:t>.00, con el fin de realizar los eventos artísticos y la promoción de los conciertos en los medios electrónicos e impresos. P</w:t>
      </w:r>
      <w:r w:rsidR="0004353D">
        <w:rPr>
          <w:rFonts w:ascii="Arial" w:hAnsi="Arial" w:cs="Arial"/>
          <w:sz w:val="20"/>
          <w:szCs w:val="20"/>
        </w:rPr>
        <w:t xml:space="preserve">ara tal efecto, se realizaron </w:t>
      </w:r>
      <w:r w:rsidR="00A3760A">
        <w:rPr>
          <w:rFonts w:ascii="Arial" w:hAnsi="Arial" w:cs="Arial"/>
          <w:sz w:val="20"/>
          <w:szCs w:val="20"/>
        </w:rPr>
        <w:t>3</w:t>
      </w:r>
      <w:r w:rsidR="0004353D">
        <w:rPr>
          <w:rFonts w:ascii="Arial" w:hAnsi="Arial" w:cs="Arial"/>
          <w:sz w:val="20"/>
          <w:szCs w:val="20"/>
        </w:rPr>
        <w:t>0</w:t>
      </w:r>
      <w:r w:rsidRPr="00B0794A">
        <w:rPr>
          <w:rFonts w:ascii="Arial" w:hAnsi="Arial" w:cs="Arial"/>
          <w:sz w:val="20"/>
          <w:szCs w:val="20"/>
        </w:rPr>
        <w:t xml:space="preserve"> conciertos</w:t>
      </w:r>
      <w:r w:rsidR="00A3760A">
        <w:rPr>
          <w:rFonts w:ascii="Arial" w:hAnsi="Arial" w:cs="Arial"/>
          <w:sz w:val="20"/>
          <w:szCs w:val="20"/>
        </w:rPr>
        <w:t xml:space="preserve"> presenciales</w:t>
      </w:r>
      <w:r w:rsidRPr="00B0794A">
        <w:rPr>
          <w:rFonts w:ascii="Arial" w:hAnsi="Arial" w:cs="Arial"/>
          <w:sz w:val="20"/>
          <w:szCs w:val="20"/>
        </w:rPr>
        <w:t xml:space="preserve"> de las temporadas XXXI</w:t>
      </w:r>
      <w:r w:rsidR="00387ED2">
        <w:rPr>
          <w:rFonts w:ascii="Arial" w:hAnsi="Arial" w:cs="Arial"/>
          <w:sz w:val="20"/>
          <w:szCs w:val="20"/>
        </w:rPr>
        <w:t>II</w:t>
      </w:r>
      <w:r w:rsidRPr="00B0794A">
        <w:rPr>
          <w:rFonts w:ascii="Arial" w:hAnsi="Arial" w:cs="Arial"/>
          <w:sz w:val="20"/>
          <w:szCs w:val="20"/>
        </w:rPr>
        <w:t xml:space="preserve"> Enero-Junio</w:t>
      </w:r>
      <w:r w:rsidR="00A3760A">
        <w:rPr>
          <w:rFonts w:ascii="Arial" w:hAnsi="Arial" w:cs="Arial"/>
          <w:sz w:val="20"/>
          <w:szCs w:val="20"/>
        </w:rPr>
        <w:t xml:space="preserve"> y XXXIV Octubre-Diciembre</w:t>
      </w:r>
      <w:r w:rsidRPr="00B0794A">
        <w:rPr>
          <w:rFonts w:ascii="Arial" w:hAnsi="Arial" w:cs="Arial"/>
          <w:sz w:val="20"/>
          <w:szCs w:val="20"/>
        </w:rPr>
        <w:t xml:space="preserve"> de la Orquesta Sinfónica de Yucatán</w:t>
      </w:r>
      <w:r w:rsidR="00A3760A">
        <w:rPr>
          <w:rFonts w:ascii="Arial" w:hAnsi="Arial" w:cs="Arial"/>
          <w:sz w:val="20"/>
          <w:szCs w:val="20"/>
        </w:rPr>
        <w:t xml:space="preserve">, y 23 conciertos transmitidos </w:t>
      </w:r>
      <w:r w:rsidR="00DD468B">
        <w:rPr>
          <w:rFonts w:ascii="Arial" w:hAnsi="Arial" w:cs="Arial"/>
          <w:sz w:val="20"/>
          <w:szCs w:val="20"/>
        </w:rPr>
        <w:t>a través de redes so</w:t>
      </w:r>
      <w:r w:rsidR="00A3760A">
        <w:rPr>
          <w:rFonts w:ascii="Arial" w:hAnsi="Arial" w:cs="Arial"/>
          <w:sz w:val="20"/>
          <w:szCs w:val="20"/>
        </w:rPr>
        <w:t>ciales</w:t>
      </w:r>
      <w:r w:rsidRPr="00B0794A">
        <w:rPr>
          <w:rFonts w:ascii="Arial" w:hAnsi="Arial" w:cs="Arial"/>
          <w:sz w:val="20"/>
          <w:szCs w:val="20"/>
        </w:rPr>
        <w:t xml:space="preserve">, contando con una asistencia total de </w:t>
      </w:r>
      <w:r w:rsidR="00A3760A">
        <w:rPr>
          <w:rFonts w:ascii="Arial" w:hAnsi="Arial" w:cs="Arial"/>
          <w:sz w:val="20"/>
          <w:szCs w:val="20"/>
        </w:rPr>
        <w:t>41,300</w:t>
      </w:r>
      <w:r w:rsidR="007213A6">
        <w:rPr>
          <w:rFonts w:ascii="Arial" w:hAnsi="Arial" w:cs="Arial"/>
          <w:sz w:val="20"/>
          <w:szCs w:val="20"/>
        </w:rPr>
        <w:t xml:space="preserve"> </w:t>
      </w:r>
      <w:r w:rsidRPr="00B0794A">
        <w:rPr>
          <w:rFonts w:ascii="Arial" w:hAnsi="Arial" w:cs="Arial"/>
          <w:sz w:val="20"/>
          <w:szCs w:val="20"/>
        </w:rPr>
        <w:t>personas. El promedio de as</w:t>
      </w:r>
      <w:r w:rsidR="009661B7">
        <w:rPr>
          <w:rFonts w:ascii="Arial" w:hAnsi="Arial" w:cs="Arial"/>
          <w:sz w:val="20"/>
          <w:szCs w:val="20"/>
        </w:rPr>
        <w:t xml:space="preserve">istencia por concierto es de </w:t>
      </w:r>
      <w:r w:rsidR="00A3760A">
        <w:rPr>
          <w:rFonts w:ascii="Arial" w:hAnsi="Arial" w:cs="Arial"/>
          <w:sz w:val="20"/>
          <w:szCs w:val="20"/>
        </w:rPr>
        <w:t>77</w:t>
      </w:r>
      <w:r w:rsidR="0004353D">
        <w:rPr>
          <w:rFonts w:ascii="Arial" w:hAnsi="Arial" w:cs="Arial"/>
          <w:sz w:val="20"/>
          <w:szCs w:val="20"/>
        </w:rPr>
        <w:t>9</w:t>
      </w:r>
      <w:r w:rsidRPr="00B0794A">
        <w:rPr>
          <w:rFonts w:ascii="Arial" w:hAnsi="Arial" w:cs="Arial"/>
          <w:sz w:val="20"/>
          <w:szCs w:val="20"/>
        </w:rPr>
        <w:t xml:space="preserve"> personas, superior a la meta establecida en el Programa Operativo Anual No. 12105-Proyecto de Presentaciones de la Orquesta Sinfónica de Yucatán, que asciende a 266 personas por evento.</w:t>
      </w:r>
    </w:p>
    <w:p w:rsidR="00B0794A" w:rsidRPr="005D0C7C" w:rsidRDefault="00B0794A" w:rsidP="00B0794A">
      <w:pPr>
        <w:spacing w:line="360" w:lineRule="auto"/>
        <w:jc w:val="both"/>
        <w:rPr>
          <w:rFonts w:ascii="Arial" w:hAnsi="Arial" w:cs="Arial"/>
          <w:sz w:val="20"/>
          <w:szCs w:val="20"/>
        </w:rPr>
      </w:pPr>
    </w:p>
    <w:p w:rsidR="00D509AB" w:rsidRPr="000B2366" w:rsidRDefault="00D509AB" w:rsidP="00D509AB">
      <w:pPr>
        <w:pStyle w:val="Prrafodelista"/>
        <w:numPr>
          <w:ilvl w:val="0"/>
          <w:numId w:val="40"/>
        </w:numPr>
        <w:tabs>
          <w:tab w:val="left" w:pos="284"/>
        </w:tabs>
        <w:spacing w:after="200" w:line="360" w:lineRule="auto"/>
        <w:ind w:left="0" w:firstLine="0"/>
        <w:jc w:val="both"/>
        <w:rPr>
          <w:rFonts w:ascii="Arial" w:hAnsi="Arial" w:cs="Arial"/>
          <w:b/>
          <w:sz w:val="20"/>
          <w:szCs w:val="20"/>
        </w:rPr>
      </w:pPr>
      <w:r w:rsidRPr="000B2366">
        <w:rPr>
          <w:rFonts w:ascii="Arial" w:hAnsi="Arial" w:cs="Arial"/>
          <w:b/>
          <w:sz w:val="20"/>
          <w:szCs w:val="20"/>
        </w:rPr>
        <w:t>Gastos Administrativos del Fideicomiso Garante de la Orquesta Sinfónica de Yucatán (</w:t>
      </w:r>
      <w:r>
        <w:rPr>
          <w:rFonts w:ascii="Arial" w:hAnsi="Arial" w:cs="Arial"/>
          <w:b/>
          <w:sz w:val="20"/>
          <w:szCs w:val="20"/>
        </w:rPr>
        <w:t>UBP-</w:t>
      </w:r>
      <w:r w:rsidRPr="000B2366">
        <w:rPr>
          <w:rFonts w:ascii="Arial" w:hAnsi="Arial" w:cs="Arial"/>
          <w:b/>
          <w:sz w:val="20"/>
          <w:szCs w:val="20"/>
        </w:rPr>
        <w:t>12108).</w:t>
      </w:r>
    </w:p>
    <w:p w:rsidR="00D509AB" w:rsidRPr="00AD0D16" w:rsidRDefault="00D509AB" w:rsidP="00D509AB">
      <w:pPr>
        <w:spacing w:line="360" w:lineRule="auto"/>
        <w:jc w:val="both"/>
        <w:rPr>
          <w:rFonts w:ascii="Arial" w:hAnsi="Arial" w:cs="Arial"/>
          <w:sz w:val="20"/>
          <w:szCs w:val="20"/>
        </w:rPr>
      </w:pPr>
      <w:r w:rsidRPr="00AD0D16">
        <w:rPr>
          <w:rFonts w:ascii="Arial" w:hAnsi="Arial" w:cs="Arial"/>
          <w:sz w:val="20"/>
          <w:szCs w:val="20"/>
        </w:rPr>
        <w:t>Descripción:</w:t>
      </w:r>
    </w:p>
    <w:p w:rsidR="00D509AB" w:rsidRPr="00AD0D16" w:rsidRDefault="00644BFD" w:rsidP="00D509AB">
      <w:pPr>
        <w:spacing w:line="360" w:lineRule="auto"/>
        <w:jc w:val="both"/>
        <w:rPr>
          <w:rFonts w:ascii="Arial" w:hAnsi="Arial" w:cs="Arial"/>
          <w:sz w:val="20"/>
          <w:szCs w:val="20"/>
        </w:rPr>
      </w:pPr>
      <w:r w:rsidRPr="00AD0D16">
        <w:rPr>
          <w:rFonts w:ascii="Arial" w:hAnsi="Arial" w:cs="Arial"/>
          <w:sz w:val="20"/>
          <w:szCs w:val="20"/>
        </w:rPr>
        <w:t xml:space="preserve">Proporcionar los diferentes servicios que ofrece la Dirección de Administración y Finanzas a las diferentes </w:t>
      </w:r>
      <w:r w:rsidR="00660BB9">
        <w:rPr>
          <w:rFonts w:ascii="Arial" w:hAnsi="Arial" w:cs="Arial"/>
          <w:sz w:val="20"/>
          <w:szCs w:val="20"/>
        </w:rPr>
        <w:t>unidades administrativas</w:t>
      </w:r>
      <w:r w:rsidRPr="00AD0D16">
        <w:rPr>
          <w:rFonts w:ascii="Arial" w:hAnsi="Arial" w:cs="Arial"/>
          <w:sz w:val="20"/>
          <w:szCs w:val="20"/>
        </w:rPr>
        <w:t xml:space="preserve"> del FIGAROSY, </w:t>
      </w:r>
      <w:r w:rsidR="00E63982">
        <w:rPr>
          <w:rFonts w:ascii="Arial" w:hAnsi="Arial" w:cs="Arial"/>
          <w:sz w:val="20"/>
          <w:szCs w:val="20"/>
        </w:rPr>
        <w:t xml:space="preserve">con el fin de que aquellas </w:t>
      </w:r>
      <w:r w:rsidRPr="00AD0D16">
        <w:rPr>
          <w:rFonts w:ascii="Arial" w:hAnsi="Arial" w:cs="Arial"/>
          <w:sz w:val="20"/>
          <w:szCs w:val="20"/>
        </w:rPr>
        <w:t xml:space="preserve">realicen </w:t>
      </w:r>
      <w:r w:rsidR="00E63982">
        <w:rPr>
          <w:rFonts w:ascii="Arial" w:hAnsi="Arial" w:cs="Arial"/>
          <w:sz w:val="20"/>
          <w:szCs w:val="20"/>
        </w:rPr>
        <w:t>las</w:t>
      </w:r>
      <w:r w:rsidRPr="00AD0D16">
        <w:rPr>
          <w:rFonts w:ascii="Arial" w:hAnsi="Arial" w:cs="Arial"/>
          <w:sz w:val="20"/>
          <w:szCs w:val="20"/>
        </w:rPr>
        <w:t xml:space="preserve"> actividades y operaciones,</w:t>
      </w:r>
      <w:r w:rsidR="00E63982">
        <w:rPr>
          <w:rFonts w:ascii="Arial" w:hAnsi="Arial" w:cs="Arial"/>
          <w:sz w:val="20"/>
          <w:szCs w:val="20"/>
        </w:rPr>
        <w:t xml:space="preserve"> que les correspondan,</w:t>
      </w:r>
      <w:r w:rsidRPr="00AD0D16">
        <w:rPr>
          <w:rFonts w:ascii="Arial" w:hAnsi="Arial" w:cs="Arial"/>
          <w:sz w:val="20"/>
          <w:szCs w:val="20"/>
        </w:rPr>
        <w:t xml:space="preserve"> tales como </w:t>
      </w:r>
      <w:r w:rsidR="00E63982">
        <w:rPr>
          <w:rFonts w:ascii="Arial" w:hAnsi="Arial" w:cs="Arial"/>
          <w:sz w:val="20"/>
          <w:szCs w:val="20"/>
        </w:rPr>
        <w:t>mantenimiento y conservación de inmuebles, instalación, reparación, mantenimiento y conservación de inmuebles</w:t>
      </w:r>
      <w:r w:rsidR="00660BB9">
        <w:rPr>
          <w:rFonts w:ascii="Arial" w:hAnsi="Arial" w:cs="Arial"/>
          <w:sz w:val="20"/>
          <w:szCs w:val="20"/>
        </w:rPr>
        <w:t>, instalación, reparación, mantenimiento y conservación de mobiliario y equipo administrativo,</w:t>
      </w:r>
      <w:r w:rsidR="00E63982">
        <w:rPr>
          <w:rFonts w:ascii="Arial" w:hAnsi="Arial" w:cs="Arial"/>
          <w:sz w:val="20"/>
          <w:szCs w:val="20"/>
        </w:rPr>
        <w:t xml:space="preserve"> </w:t>
      </w:r>
      <w:r w:rsidR="00660BB9">
        <w:rPr>
          <w:rFonts w:ascii="Arial" w:hAnsi="Arial" w:cs="Arial"/>
          <w:sz w:val="20"/>
          <w:szCs w:val="20"/>
        </w:rPr>
        <w:t>s</w:t>
      </w:r>
      <w:r w:rsidRPr="00AD0D16">
        <w:rPr>
          <w:rFonts w:ascii="Arial" w:hAnsi="Arial" w:cs="Arial"/>
          <w:sz w:val="20"/>
          <w:szCs w:val="20"/>
        </w:rPr>
        <w:t>ervicio telefónico, arrendamiento de edificios y locales</w:t>
      </w:r>
      <w:r w:rsidR="00660BB9">
        <w:rPr>
          <w:rFonts w:ascii="Arial" w:hAnsi="Arial" w:cs="Arial"/>
          <w:sz w:val="20"/>
          <w:szCs w:val="20"/>
        </w:rPr>
        <w:t xml:space="preserve"> (bodega) e instalación, reparación, mantenimiento y conservación de bienes informáticos</w:t>
      </w:r>
      <w:r w:rsidR="00D509AB" w:rsidRPr="00AD0D16">
        <w:rPr>
          <w:rFonts w:ascii="Arial" w:hAnsi="Arial" w:cs="Arial"/>
          <w:sz w:val="20"/>
          <w:szCs w:val="20"/>
        </w:rPr>
        <w:t>.</w:t>
      </w:r>
    </w:p>
    <w:p w:rsidR="00D509AB" w:rsidRPr="00AD0D16" w:rsidRDefault="00D509AB" w:rsidP="00D509AB">
      <w:pPr>
        <w:spacing w:line="360" w:lineRule="auto"/>
        <w:jc w:val="both"/>
        <w:rPr>
          <w:rFonts w:ascii="Arial" w:hAnsi="Arial" w:cs="Arial"/>
          <w:sz w:val="20"/>
          <w:szCs w:val="20"/>
        </w:rPr>
      </w:pPr>
    </w:p>
    <w:p w:rsidR="00D509AB" w:rsidRPr="00AD0D16" w:rsidRDefault="00D509AB" w:rsidP="00D509AB">
      <w:pPr>
        <w:spacing w:line="360" w:lineRule="auto"/>
        <w:jc w:val="both"/>
        <w:rPr>
          <w:rFonts w:ascii="Arial" w:hAnsi="Arial" w:cs="Arial"/>
          <w:sz w:val="20"/>
          <w:szCs w:val="20"/>
        </w:rPr>
      </w:pPr>
      <w:r w:rsidRPr="00AD0D16">
        <w:rPr>
          <w:rFonts w:ascii="Arial" w:hAnsi="Arial" w:cs="Arial"/>
          <w:sz w:val="20"/>
          <w:szCs w:val="20"/>
        </w:rPr>
        <w:lastRenderedPageBreak/>
        <w:t>Objetivo:</w:t>
      </w:r>
    </w:p>
    <w:p w:rsidR="00D509AB" w:rsidRPr="00AD0D16" w:rsidRDefault="00660BB9" w:rsidP="00D509AB">
      <w:pPr>
        <w:spacing w:line="360" w:lineRule="auto"/>
        <w:jc w:val="both"/>
        <w:rPr>
          <w:rFonts w:ascii="Arial" w:hAnsi="Arial" w:cs="Arial"/>
          <w:sz w:val="20"/>
          <w:szCs w:val="20"/>
        </w:rPr>
      </w:pPr>
      <w:r>
        <w:rPr>
          <w:rFonts w:ascii="Arial" w:hAnsi="Arial" w:cs="Arial"/>
          <w:sz w:val="20"/>
          <w:szCs w:val="20"/>
        </w:rPr>
        <w:t>Las u</w:t>
      </w:r>
      <w:r w:rsidR="00644BFD" w:rsidRPr="00AD0D16">
        <w:rPr>
          <w:rFonts w:ascii="Arial" w:hAnsi="Arial" w:cs="Arial"/>
          <w:sz w:val="20"/>
          <w:szCs w:val="20"/>
        </w:rPr>
        <w:t>nidades administrativas del Fideicomiso Garante de la Orquesta Sinfónica de Yucatán cuent</w:t>
      </w:r>
      <w:r w:rsidR="00644BFD">
        <w:rPr>
          <w:rFonts w:ascii="Arial" w:hAnsi="Arial" w:cs="Arial"/>
          <w:sz w:val="20"/>
          <w:szCs w:val="20"/>
        </w:rPr>
        <w:t>a</w:t>
      </w:r>
      <w:r w:rsidR="00644BFD" w:rsidRPr="00AD0D16">
        <w:rPr>
          <w:rFonts w:ascii="Arial" w:hAnsi="Arial" w:cs="Arial"/>
          <w:sz w:val="20"/>
          <w:szCs w:val="20"/>
        </w:rPr>
        <w:t>n con una administración eficiente de recursos para su operación mediante el pago de recibos de servicios generales realizados</w:t>
      </w:r>
      <w:r w:rsidR="00D509AB" w:rsidRPr="00AD0D16">
        <w:rPr>
          <w:rFonts w:ascii="Arial" w:hAnsi="Arial" w:cs="Arial"/>
          <w:sz w:val="20"/>
          <w:szCs w:val="20"/>
        </w:rPr>
        <w:t>.</w:t>
      </w:r>
    </w:p>
    <w:p w:rsidR="00D509AB" w:rsidRPr="00AD0D16" w:rsidRDefault="00D509AB" w:rsidP="00D509AB">
      <w:pPr>
        <w:spacing w:line="360" w:lineRule="auto"/>
        <w:jc w:val="both"/>
        <w:rPr>
          <w:rFonts w:ascii="Arial" w:hAnsi="Arial" w:cs="Arial"/>
          <w:sz w:val="20"/>
          <w:szCs w:val="20"/>
        </w:rPr>
      </w:pPr>
    </w:p>
    <w:p w:rsidR="00D509AB" w:rsidRDefault="00D509AB" w:rsidP="00D509AB">
      <w:pPr>
        <w:spacing w:line="360" w:lineRule="auto"/>
        <w:jc w:val="both"/>
        <w:rPr>
          <w:rFonts w:ascii="Arial" w:hAnsi="Arial" w:cs="Arial"/>
          <w:sz w:val="20"/>
          <w:szCs w:val="20"/>
        </w:rPr>
      </w:pPr>
      <w:r w:rsidRPr="00AD0D16">
        <w:rPr>
          <w:rFonts w:ascii="Arial" w:hAnsi="Arial" w:cs="Arial"/>
          <w:sz w:val="20"/>
          <w:szCs w:val="20"/>
        </w:rPr>
        <w:t>A continuación se describe el indicador y la comparación de la meta que se desea alcanzar en el ejercic</w:t>
      </w:r>
      <w:r w:rsidR="00387ED2">
        <w:rPr>
          <w:rFonts w:ascii="Arial" w:hAnsi="Arial" w:cs="Arial"/>
          <w:sz w:val="20"/>
          <w:szCs w:val="20"/>
        </w:rPr>
        <w:t>io 2020</w:t>
      </w:r>
      <w:r w:rsidRPr="00AD0D16">
        <w:rPr>
          <w:rFonts w:ascii="Arial" w:hAnsi="Arial" w:cs="Arial"/>
          <w:sz w:val="20"/>
          <w:szCs w:val="20"/>
        </w:rPr>
        <w:t xml:space="preserve"> y el resultado obtenido por el período del </w:t>
      </w:r>
      <w:r w:rsidR="00D73F84">
        <w:rPr>
          <w:rFonts w:ascii="Arial" w:hAnsi="Arial" w:cs="Arial"/>
          <w:sz w:val="20"/>
          <w:szCs w:val="20"/>
        </w:rPr>
        <w:t>1</w:t>
      </w:r>
      <w:r w:rsidR="00890EC0">
        <w:rPr>
          <w:rFonts w:ascii="Arial" w:hAnsi="Arial" w:cs="Arial"/>
          <w:sz w:val="20"/>
          <w:szCs w:val="20"/>
        </w:rPr>
        <w:t xml:space="preserve"> </w:t>
      </w:r>
      <w:r w:rsidR="003D2855">
        <w:rPr>
          <w:rFonts w:ascii="Arial" w:hAnsi="Arial" w:cs="Arial"/>
          <w:sz w:val="20"/>
          <w:szCs w:val="20"/>
        </w:rPr>
        <w:t>de Enero al 3</w:t>
      </w:r>
      <w:r w:rsidR="00DD468B">
        <w:rPr>
          <w:rFonts w:ascii="Arial" w:hAnsi="Arial" w:cs="Arial"/>
          <w:sz w:val="20"/>
          <w:szCs w:val="20"/>
        </w:rPr>
        <w:t>1</w:t>
      </w:r>
      <w:r w:rsidR="00387ED2">
        <w:rPr>
          <w:rFonts w:ascii="Arial" w:hAnsi="Arial" w:cs="Arial"/>
          <w:sz w:val="20"/>
          <w:szCs w:val="20"/>
        </w:rPr>
        <w:t xml:space="preserve"> </w:t>
      </w:r>
      <w:r w:rsidR="00890EC0">
        <w:rPr>
          <w:rFonts w:ascii="Arial" w:hAnsi="Arial" w:cs="Arial"/>
          <w:sz w:val="20"/>
          <w:szCs w:val="20"/>
        </w:rPr>
        <w:t xml:space="preserve">de </w:t>
      </w:r>
      <w:r w:rsidR="00DD468B">
        <w:rPr>
          <w:rFonts w:ascii="Arial" w:hAnsi="Arial" w:cs="Arial"/>
          <w:sz w:val="20"/>
          <w:szCs w:val="20"/>
        </w:rPr>
        <w:t>Dic</w:t>
      </w:r>
      <w:r w:rsidR="0073563A">
        <w:rPr>
          <w:rFonts w:ascii="Arial" w:hAnsi="Arial" w:cs="Arial"/>
          <w:sz w:val="20"/>
          <w:szCs w:val="20"/>
        </w:rPr>
        <w:t>iem</w:t>
      </w:r>
      <w:r w:rsidR="00B4297F">
        <w:rPr>
          <w:rFonts w:ascii="Arial" w:hAnsi="Arial" w:cs="Arial"/>
          <w:sz w:val="20"/>
          <w:szCs w:val="20"/>
        </w:rPr>
        <w:t>bre</w:t>
      </w:r>
      <w:r w:rsidR="00E63982">
        <w:rPr>
          <w:rFonts w:ascii="Arial" w:hAnsi="Arial" w:cs="Arial"/>
          <w:sz w:val="20"/>
          <w:szCs w:val="20"/>
        </w:rPr>
        <w:t xml:space="preserve"> </w:t>
      </w:r>
      <w:r w:rsidR="00387ED2">
        <w:rPr>
          <w:rFonts w:ascii="Arial" w:hAnsi="Arial" w:cs="Arial"/>
          <w:sz w:val="20"/>
          <w:szCs w:val="20"/>
        </w:rPr>
        <w:t>de 2020</w:t>
      </w:r>
      <w:r w:rsidRPr="00AD0D16">
        <w:rPr>
          <w:rFonts w:ascii="Arial" w:hAnsi="Arial" w:cs="Arial"/>
          <w:sz w:val="20"/>
          <w:szCs w:val="20"/>
        </w:rPr>
        <w:t>:</w:t>
      </w:r>
    </w:p>
    <w:p w:rsidR="00D509AB" w:rsidRPr="00AD0D16" w:rsidRDefault="00D509AB" w:rsidP="00D509AB">
      <w:pPr>
        <w:spacing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4361"/>
        <w:gridCol w:w="1401"/>
        <w:gridCol w:w="1292"/>
      </w:tblGrid>
      <w:tr w:rsidR="00D509AB" w:rsidRPr="005D0C7C" w:rsidTr="00D74363">
        <w:trPr>
          <w:jc w:val="center"/>
        </w:trPr>
        <w:tc>
          <w:tcPr>
            <w:tcW w:w="4361" w:type="dxa"/>
          </w:tcPr>
          <w:p w:rsidR="00D509AB" w:rsidRPr="00D509AB" w:rsidRDefault="00D509AB" w:rsidP="00D509AB">
            <w:pPr>
              <w:jc w:val="center"/>
              <w:rPr>
                <w:rFonts w:ascii="Arial" w:hAnsi="Arial" w:cs="Arial"/>
                <w:sz w:val="20"/>
                <w:szCs w:val="20"/>
              </w:rPr>
            </w:pPr>
            <w:r w:rsidRPr="00D509AB">
              <w:rPr>
                <w:rFonts w:ascii="Arial" w:hAnsi="Arial" w:cs="Arial"/>
                <w:sz w:val="20"/>
                <w:szCs w:val="20"/>
              </w:rPr>
              <w:t>Nombre de Indicadores</w:t>
            </w:r>
          </w:p>
        </w:tc>
        <w:tc>
          <w:tcPr>
            <w:tcW w:w="1401" w:type="dxa"/>
          </w:tcPr>
          <w:p w:rsidR="00D509AB" w:rsidRPr="00D509AB" w:rsidRDefault="00D509AB" w:rsidP="00D509AB">
            <w:pPr>
              <w:jc w:val="center"/>
              <w:rPr>
                <w:rFonts w:ascii="Arial" w:hAnsi="Arial" w:cs="Arial"/>
                <w:sz w:val="20"/>
                <w:szCs w:val="20"/>
              </w:rPr>
            </w:pPr>
            <w:r w:rsidRPr="00D509AB">
              <w:rPr>
                <w:rFonts w:ascii="Arial" w:hAnsi="Arial" w:cs="Arial"/>
                <w:sz w:val="20"/>
                <w:szCs w:val="20"/>
              </w:rPr>
              <w:t>Meta</w:t>
            </w:r>
          </w:p>
        </w:tc>
        <w:tc>
          <w:tcPr>
            <w:tcW w:w="1292" w:type="dxa"/>
          </w:tcPr>
          <w:p w:rsidR="00D509AB" w:rsidRPr="00D509AB" w:rsidRDefault="00D509AB" w:rsidP="00D509AB">
            <w:pPr>
              <w:jc w:val="center"/>
              <w:rPr>
                <w:rFonts w:ascii="Arial" w:hAnsi="Arial" w:cs="Arial"/>
                <w:sz w:val="20"/>
                <w:szCs w:val="20"/>
              </w:rPr>
            </w:pPr>
            <w:r w:rsidRPr="00D509AB">
              <w:rPr>
                <w:rFonts w:ascii="Arial" w:hAnsi="Arial" w:cs="Arial"/>
                <w:sz w:val="20"/>
                <w:szCs w:val="20"/>
              </w:rPr>
              <w:t>Resultado</w:t>
            </w:r>
          </w:p>
        </w:tc>
      </w:tr>
      <w:tr w:rsidR="00D509AB" w:rsidRPr="005D0C7C" w:rsidTr="00D74363">
        <w:trPr>
          <w:jc w:val="center"/>
        </w:trPr>
        <w:tc>
          <w:tcPr>
            <w:tcW w:w="4361" w:type="dxa"/>
          </w:tcPr>
          <w:p w:rsidR="00D509AB" w:rsidRPr="00D509AB" w:rsidRDefault="00D509AB" w:rsidP="00D509AB">
            <w:pPr>
              <w:rPr>
                <w:rFonts w:ascii="Arial" w:hAnsi="Arial" w:cs="Arial"/>
                <w:sz w:val="20"/>
                <w:szCs w:val="20"/>
              </w:rPr>
            </w:pPr>
            <w:r w:rsidRPr="00D509AB">
              <w:rPr>
                <w:rFonts w:ascii="Arial" w:hAnsi="Arial" w:cs="Arial"/>
                <w:sz w:val="20"/>
                <w:szCs w:val="20"/>
              </w:rPr>
              <w:t>Porcentaje de presupuesto ejercido</w:t>
            </w:r>
          </w:p>
        </w:tc>
        <w:tc>
          <w:tcPr>
            <w:tcW w:w="1401" w:type="dxa"/>
          </w:tcPr>
          <w:p w:rsidR="00D509AB" w:rsidRPr="00D509AB" w:rsidRDefault="00D509AB" w:rsidP="00D509AB">
            <w:pPr>
              <w:jc w:val="center"/>
              <w:rPr>
                <w:rFonts w:ascii="Arial" w:hAnsi="Arial" w:cs="Arial"/>
                <w:sz w:val="20"/>
                <w:szCs w:val="20"/>
              </w:rPr>
            </w:pPr>
            <w:r w:rsidRPr="00D509AB">
              <w:rPr>
                <w:rFonts w:ascii="Arial" w:hAnsi="Arial" w:cs="Arial"/>
                <w:sz w:val="20"/>
                <w:szCs w:val="20"/>
              </w:rPr>
              <w:t>100 %</w:t>
            </w:r>
          </w:p>
        </w:tc>
        <w:tc>
          <w:tcPr>
            <w:tcW w:w="1292" w:type="dxa"/>
          </w:tcPr>
          <w:p w:rsidR="00D509AB" w:rsidRPr="00D509AB" w:rsidRDefault="00DD468B" w:rsidP="0043200C">
            <w:pPr>
              <w:jc w:val="center"/>
              <w:rPr>
                <w:rFonts w:ascii="Arial" w:hAnsi="Arial" w:cs="Arial"/>
                <w:sz w:val="20"/>
                <w:szCs w:val="20"/>
              </w:rPr>
            </w:pPr>
            <w:r>
              <w:rPr>
                <w:rFonts w:ascii="Arial" w:hAnsi="Arial" w:cs="Arial"/>
                <w:sz w:val="20"/>
                <w:szCs w:val="20"/>
              </w:rPr>
              <w:t>97</w:t>
            </w:r>
            <w:r w:rsidR="00D509AB" w:rsidRPr="00D509AB">
              <w:rPr>
                <w:rFonts w:ascii="Arial" w:hAnsi="Arial" w:cs="Arial"/>
                <w:sz w:val="20"/>
                <w:szCs w:val="20"/>
              </w:rPr>
              <w:t xml:space="preserve"> %</w:t>
            </w:r>
          </w:p>
        </w:tc>
      </w:tr>
    </w:tbl>
    <w:p w:rsidR="00D509AB" w:rsidRPr="005D0C7C" w:rsidRDefault="00D509AB" w:rsidP="00D509AB">
      <w:pPr>
        <w:spacing w:line="360" w:lineRule="auto"/>
        <w:jc w:val="both"/>
        <w:rPr>
          <w:rFonts w:ascii="Arial" w:hAnsi="Arial" w:cs="Arial"/>
          <w:sz w:val="20"/>
          <w:szCs w:val="20"/>
        </w:rPr>
      </w:pPr>
    </w:p>
    <w:p w:rsidR="00D509AB" w:rsidRDefault="00D509AB" w:rsidP="00D509AB">
      <w:pPr>
        <w:spacing w:line="360" w:lineRule="auto"/>
        <w:jc w:val="both"/>
        <w:rPr>
          <w:rFonts w:ascii="Arial" w:hAnsi="Arial" w:cs="Arial"/>
          <w:sz w:val="20"/>
          <w:szCs w:val="20"/>
        </w:rPr>
      </w:pPr>
      <w:r w:rsidRPr="005D0C7C">
        <w:rPr>
          <w:rFonts w:ascii="Arial" w:hAnsi="Arial" w:cs="Arial"/>
          <w:sz w:val="20"/>
          <w:szCs w:val="20"/>
        </w:rPr>
        <w:t>Durante</w:t>
      </w:r>
      <w:r w:rsidR="001D31B2">
        <w:rPr>
          <w:rFonts w:ascii="Arial" w:hAnsi="Arial" w:cs="Arial"/>
          <w:sz w:val="20"/>
          <w:szCs w:val="20"/>
        </w:rPr>
        <w:t xml:space="preserve"> el periodo del </w:t>
      </w:r>
      <w:r w:rsidR="00D73F84">
        <w:rPr>
          <w:rFonts w:ascii="Arial" w:hAnsi="Arial" w:cs="Arial"/>
          <w:sz w:val="20"/>
          <w:szCs w:val="20"/>
        </w:rPr>
        <w:t>1</w:t>
      </w:r>
      <w:r w:rsidR="00D72309">
        <w:rPr>
          <w:rFonts w:ascii="Arial" w:hAnsi="Arial" w:cs="Arial"/>
          <w:sz w:val="20"/>
          <w:szCs w:val="20"/>
        </w:rPr>
        <w:t xml:space="preserve"> de Enero al 3</w:t>
      </w:r>
      <w:r w:rsidR="00DD468B">
        <w:rPr>
          <w:rFonts w:ascii="Arial" w:hAnsi="Arial" w:cs="Arial"/>
          <w:sz w:val="20"/>
          <w:szCs w:val="20"/>
        </w:rPr>
        <w:t>1</w:t>
      </w:r>
      <w:r w:rsidR="00D73F84">
        <w:rPr>
          <w:rFonts w:ascii="Arial" w:hAnsi="Arial" w:cs="Arial"/>
          <w:sz w:val="20"/>
          <w:szCs w:val="20"/>
        </w:rPr>
        <w:t xml:space="preserve"> </w:t>
      </w:r>
      <w:r w:rsidR="00890EC0">
        <w:rPr>
          <w:rFonts w:ascii="Arial" w:hAnsi="Arial" w:cs="Arial"/>
          <w:sz w:val="20"/>
          <w:szCs w:val="20"/>
        </w:rPr>
        <w:t xml:space="preserve">de </w:t>
      </w:r>
      <w:r w:rsidR="00DD468B">
        <w:rPr>
          <w:rFonts w:ascii="Arial" w:hAnsi="Arial" w:cs="Arial"/>
          <w:sz w:val="20"/>
          <w:szCs w:val="20"/>
        </w:rPr>
        <w:t>Dic</w:t>
      </w:r>
      <w:r w:rsidR="0073563A">
        <w:rPr>
          <w:rFonts w:ascii="Arial" w:hAnsi="Arial" w:cs="Arial"/>
          <w:sz w:val="20"/>
          <w:szCs w:val="20"/>
        </w:rPr>
        <w:t>iem</w:t>
      </w:r>
      <w:r w:rsidR="00B4297F">
        <w:rPr>
          <w:rFonts w:ascii="Arial" w:hAnsi="Arial" w:cs="Arial"/>
          <w:sz w:val="20"/>
          <w:szCs w:val="20"/>
        </w:rPr>
        <w:t>bre</w:t>
      </w:r>
      <w:r w:rsidR="00890EC0">
        <w:rPr>
          <w:rFonts w:ascii="Arial" w:hAnsi="Arial" w:cs="Arial"/>
          <w:sz w:val="20"/>
          <w:szCs w:val="20"/>
        </w:rPr>
        <w:t xml:space="preserve"> </w:t>
      </w:r>
      <w:r w:rsidR="00387ED2">
        <w:rPr>
          <w:rFonts w:ascii="Arial" w:hAnsi="Arial" w:cs="Arial"/>
          <w:sz w:val="20"/>
          <w:szCs w:val="20"/>
        </w:rPr>
        <w:t>de 2020</w:t>
      </w:r>
      <w:r w:rsidR="005736D7">
        <w:rPr>
          <w:rFonts w:ascii="Arial" w:hAnsi="Arial" w:cs="Arial"/>
          <w:sz w:val="20"/>
          <w:szCs w:val="20"/>
        </w:rPr>
        <w:t xml:space="preserve"> se ejerció</w:t>
      </w:r>
      <w:r w:rsidR="00B0794A">
        <w:rPr>
          <w:rFonts w:ascii="Arial" w:hAnsi="Arial" w:cs="Arial"/>
          <w:sz w:val="20"/>
          <w:szCs w:val="20"/>
        </w:rPr>
        <w:t xml:space="preserve"> la cantidad de $ </w:t>
      </w:r>
      <w:r w:rsidR="009F0399">
        <w:rPr>
          <w:rFonts w:ascii="Arial" w:hAnsi="Arial" w:cs="Arial"/>
          <w:sz w:val="20"/>
          <w:szCs w:val="20"/>
        </w:rPr>
        <w:t>855</w:t>
      </w:r>
      <w:r w:rsidR="00DD468B">
        <w:rPr>
          <w:rFonts w:ascii="Arial" w:hAnsi="Arial" w:cs="Arial"/>
          <w:sz w:val="20"/>
          <w:szCs w:val="20"/>
        </w:rPr>
        <w:t>,</w:t>
      </w:r>
      <w:r w:rsidR="009F0399">
        <w:rPr>
          <w:rFonts w:ascii="Arial" w:hAnsi="Arial" w:cs="Arial"/>
          <w:sz w:val="20"/>
          <w:szCs w:val="20"/>
        </w:rPr>
        <w:t>12</w:t>
      </w:r>
      <w:r w:rsidR="00DD468B">
        <w:rPr>
          <w:rFonts w:ascii="Arial" w:hAnsi="Arial" w:cs="Arial"/>
          <w:sz w:val="20"/>
          <w:szCs w:val="20"/>
        </w:rPr>
        <w:t>2</w:t>
      </w:r>
      <w:r w:rsidR="00B0794A">
        <w:rPr>
          <w:rFonts w:ascii="Arial" w:hAnsi="Arial" w:cs="Arial"/>
          <w:sz w:val="20"/>
          <w:szCs w:val="20"/>
        </w:rPr>
        <w:t>.00 que equivale</w:t>
      </w:r>
      <w:r w:rsidR="005736D7">
        <w:rPr>
          <w:rFonts w:ascii="Arial" w:hAnsi="Arial" w:cs="Arial"/>
          <w:sz w:val="20"/>
          <w:szCs w:val="20"/>
        </w:rPr>
        <w:t xml:space="preserve"> el </w:t>
      </w:r>
      <w:r w:rsidR="00DD468B">
        <w:rPr>
          <w:rFonts w:ascii="Arial" w:hAnsi="Arial" w:cs="Arial"/>
          <w:sz w:val="20"/>
          <w:szCs w:val="20"/>
        </w:rPr>
        <w:t>97</w:t>
      </w:r>
      <w:r w:rsidR="000D7023">
        <w:rPr>
          <w:rFonts w:ascii="Arial" w:hAnsi="Arial" w:cs="Arial"/>
          <w:sz w:val="20"/>
          <w:szCs w:val="20"/>
        </w:rPr>
        <w:t xml:space="preserve"> </w:t>
      </w:r>
      <w:r w:rsidRPr="005D0C7C">
        <w:rPr>
          <w:rFonts w:ascii="Arial" w:hAnsi="Arial" w:cs="Arial"/>
          <w:sz w:val="20"/>
          <w:szCs w:val="20"/>
        </w:rPr>
        <w:t>% respecto al total de presupuesto aprobado para el FIGAROSY del capí</w:t>
      </w:r>
      <w:r w:rsidR="00B0794A">
        <w:rPr>
          <w:rFonts w:ascii="Arial" w:hAnsi="Arial" w:cs="Arial"/>
          <w:sz w:val="20"/>
          <w:szCs w:val="20"/>
        </w:rPr>
        <w:t xml:space="preserve">tulo 3000 (Servicios Generales), quedando pendiente de ejercer la cantidad de $ </w:t>
      </w:r>
      <w:r w:rsidR="009F0399">
        <w:rPr>
          <w:rFonts w:ascii="Arial" w:hAnsi="Arial" w:cs="Arial"/>
          <w:sz w:val="20"/>
          <w:szCs w:val="20"/>
        </w:rPr>
        <w:t>28</w:t>
      </w:r>
      <w:r w:rsidR="00DD468B">
        <w:rPr>
          <w:rFonts w:ascii="Arial" w:hAnsi="Arial" w:cs="Arial"/>
          <w:sz w:val="20"/>
          <w:szCs w:val="20"/>
        </w:rPr>
        <w:t>,</w:t>
      </w:r>
      <w:r w:rsidR="009F0399">
        <w:rPr>
          <w:rFonts w:ascii="Arial" w:hAnsi="Arial" w:cs="Arial"/>
          <w:sz w:val="20"/>
          <w:szCs w:val="20"/>
        </w:rPr>
        <w:t>41</w:t>
      </w:r>
      <w:r w:rsidR="00DD468B">
        <w:rPr>
          <w:rFonts w:ascii="Arial" w:hAnsi="Arial" w:cs="Arial"/>
          <w:sz w:val="20"/>
          <w:szCs w:val="20"/>
        </w:rPr>
        <w:t>8</w:t>
      </w:r>
      <w:r w:rsidR="00B0794A">
        <w:rPr>
          <w:rFonts w:ascii="Arial" w:hAnsi="Arial" w:cs="Arial"/>
          <w:sz w:val="20"/>
          <w:szCs w:val="20"/>
        </w:rPr>
        <w:t>.00.</w:t>
      </w:r>
    </w:p>
    <w:p w:rsidR="00D509AB" w:rsidRDefault="00D509AB" w:rsidP="00D509AB">
      <w:pPr>
        <w:pStyle w:val="Prrafodelista"/>
        <w:tabs>
          <w:tab w:val="left" w:pos="284"/>
        </w:tabs>
        <w:spacing w:line="360" w:lineRule="auto"/>
        <w:ind w:left="0"/>
        <w:jc w:val="both"/>
        <w:rPr>
          <w:rFonts w:ascii="ZapfHumnst BT" w:hAnsi="ZapfHumnst BT"/>
          <w:b/>
          <w:sz w:val="20"/>
          <w:szCs w:val="20"/>
        </w:rPr>
      </w:pPr>
    </w:p>
    <w:p w:rsidR="00D509AB" w:rsidRPr="00AD0D16" w:rsidRDefault="00D509AB" w:rsidP="00D509AB">
      <w:pPr>
        <w:pStyle w:val="Prrafodelista"/>
        <w:numPr>
          <w:ilvl w:val="0"/>
          <w:numId w:val="40"/>
        </w:numPr>
        <w:tabs>
          <w:tab w:val="left" w:pos="284"/>
        </w:tabs>
        <w:spacing w:after="200" w:line="360" w:lineRule="auto"/>
        <w:ind w:left="0" w:firstLine="0"/>
        <w:jc w:val="both"/>
        <w:rPr>
          <w:rFonts w:ascii="Arial" w:hAnsi="Arial" w:cs="Arial"/>
          <w:b/>
          <w:sz w:val="20"/>
          <w:szCs w:val="20"/>
        </w:rPr>
      </w:pPr>
      <w:r w:rsidRPr="00AD0D16">
        <w:rPr>
          <w:rFonts w:ascii="Arial" w:hAnsi="Arial" w:cs="Arial"/>
          <w:b/>
          <w:sz w:val="20"/>
          <w:szCs w:val="20"/>
        </w:rPr>
        <w:t>Administración de recursos humanos del Fideicomiso Garante de la Orquesta Sinfónica de Yucatán (UBP-13936).</w:t>
      </w:r>
    </w:p>
    <w:p w:rsidR="00D509AB" w:rsidRPr="005D0C7C" w:rsidRDefault="00D509AB" w:rsidP="00D509AB">
      <w:pPr>
        <w:spacing w:line="360" w:lineRule="auto"/>
        <w:jc w:val="both"/>
        <w:rPr>
          <w:rFonts w:ascii="Arial" w:hAnsi="Arial" w:cs="Arial"/>
          <w:sz w:val="20"/>
          <w:szCs w:val="20"/>
        </w:rPr>
      </w:pPr>
      <w:r w:rsidRPr="005D0C7C">
        <w:rPr>
          <w:rFonts w:ascii="Arial" w:hAnsi="Arial" w:cs="Arial"/>
          <w:sz w:val="20"/>
          <w:szCs w:val="20"/>
        </w:rPr>
        <w:t>Descripción:</w:t>
      </w:r>
    </w:p>
    <w:p w:rsidR="00D509AB" w:rsidRPr="005D0C7C" w:rsidRDefault="00660BB9" w:rsidP="00D509AB">
      <w:pPr>
        <w:spacing w:line="360" w:lineRule="auto"/>
        <w:jc w:val="both"/>
        <w:rPr>
          <w:rFonts w:ascii="Arial" w:hAnsi="Arial" w:cs="Arial"/>
          <w:sz w:val="20"/>
          <w:szCs w:val="20"/>
        </w:rPr>
      </w:pPr>
      <w:r>
        <w:rPr>
          <w:rFonts w:ascii="Arial" w:hAnsi="Arial" w:cs="Arial"/>
          <w:sz w:val="20"/>
          <w:szCs w:val="20"/>
        </w:rPr>
        <w:t>Realizar los procesos necesarios para la</w:t>
      </w:r>
      <w:r w:rsidR="00644BFD" w:rsidRPr="005D0C7C">
        <w:rPr>
          <w:rFonts w:ascii="Arial" w:hAnsi="Arial" w:cs="Arial"/>
          <w:sz w:val="20"/>
          <w:szCs w:val="20"/>
        </w:rPr>
        <w:t xml:space="preserve"> elabora</w:t>
      </w:r>
      <w:r>
        <w:rPr>
          <w:rFonts w:ascii="Arial" w:hAnsi="Arial" w:cs="Arial"/>
          <w:sz w:val="20"/>
          <w:szCs w:val="20"/>
        </w:rPr>
        <w:t>ción</w:t>
      </w:r>
      <w:r w:rsidR="00644BFD" w:rsidRPr="005D0C7C">
        <w:rPr>
          <w:rFonts w:ascii="Arial" w:hAnsi="Arial" w:cs="Arial"/>
          <w:sz w:val="20"/>
          <w:szCs w:val="20"/>
        </w:rPr>
        <w:t xml:space="preserve"> </w:t>
      </w:r>
      <w:r>
        <w:rPr>
          <w:rFonts w:ascii="Arial" w:hAnsi="Arial" w:cs="Arial"/>
          <w:sz w:val="20"/>
          <w:szCs w:val="20"/>
        </w:rPr>
        <w:t xml:space="preserve">de </w:t>
      </w:r>
      <w:r w:rsidR="00644BFD" w:rsidRPr="005D0C7C">
        <w:rPr>
          <w:rFonts w:ascii="Arial" w:hAnsi="Arial" w:cs="Arial"/>
          <w:sz w:val="20"/>
          <w:szCs w:val="20"/>
        </w:rPr>
        <w:t xml:space="preserve">la nómina, </w:t>
      </w:r>
      <w:r>
        <w:rPr>
          <w:rFonts w:ascii="Arial" w:hAnsi="Arial" w:cs="Arial"/>
          <w:sz w:val="20"/>
          <w:szCs w:val="20"/>
        </w:rPr>
        <w:t xml:space="preserve">proporcionar y coordinar </w:t>
      </w:r>
      <w:r w:rsidR="00644BFD" w:rsidRPr="005D0C7C">
        <w:rPr>
          <w:rFonts w:ascii="Arial" w:hAnsi="Arial" w:cs="Arial"/>
          <w:sz w:val="20"/>
          <w:szCs w:val="20"/>
        </w:rPr>
        <w:t xml:space="preserve">la capacitación del personal, </w:t>
      </w:r>
      <w:r w:rsidR="004D5218">
        <w:rPr>
          <w:rFonts w:ascii="Arial" w:hAnsi="Arial" w:cs="Arial"/>
          <w:sz w:val="20"/>
          <w:szCs w:val="20"/>
        </w:rPr>
        <w:t>promover acciones para la</w:t>
      </w:r>
      <w:r w:rsidR="00644BFD">
        <w:rPr>
          <w:rFonts w:ascii="Arial" w:hAnsi="Arial" w:cs="Arial"/>
          <w:sz w:val="20"/>
          <w:szCs w:val="20"/>
        </w:rPr>
        <w:t xml:space="preserve"> integración del personal,</w:t>
      </w:r>
      <w:r w:rsidR="004D5218">
        <w:rPr>
          <w:rFonts w:ascii="Arial" w:hAnsi="Arial" w:cs="Arial"/>
          <w:sz w:val="20"/>
          <w:szCs w:val="20"/>
        </w:rPr>
        <w:t xml:space="preserve"> entre otros; </w:t>
      </w:r>
      <w:r w:rsidR="00644BFD" w:rsidRPr="005D0C7C">
        <w:rPr>
          <w:rFonts w:ascii="Arial" w:hAnsi="Arial" w:cs="Arial"/>
          <w:sz w:val="20"/>
          <w:szCs w:val="20"/>
        </w:rPr>
        <w:t>con el propósito de otorgar las condiciones necesarias para la operatividad del FIGAROSY</w:t>
      </w:r>
      <w:r w:rsidR="00D509AB" w:rsidRPr="005D0C7C">
        <w:rPr>
          <w:rFonts w:ascii="Arial" w:hAnsi="Arial" w:cs="Arial"/>
          <w:sz w:val="20"/>
          <w:szCs w:val="20"/>
        </w:rPr>
        <w:t xml:space="preserve">. </w:t>
      </w:r>
    </w:p>
    <w:p w:rsidR="00D509AB" w:rsidRDefault="00D509AB" w:rsidP="00D509AB">
      <w:pPr>
        <w:spacing w:line="360" w:lineRule="auto"/>
        <w:jc w:val="both"/>
        <w:rPr>
          <w:rFonts w:ascii="Arial" w:hAnsi="Arial" w:cs="Arial"/>
          <w:sz w:val="20"/>
          <w:szCs w:val="20"/>
        </w:rPr>
      </w:pPr>
    </w:p>
    <w:p w:rsidR="00D509AB" w:rsidRPr="005D0C7C" w:rsidRDefault="00D509AB" w:rsidP="00D509AB">
      <w:pPr>
        <w:spacing w:line="360" w:lineRule="auto"/>
        <w:jc w:val="both"/>
        <w:rPr>
          <w:rFonts w:ascii="Arial" w:hAnsi="Arial" w:cs="Arial"/>
          <w:sz w:val="20"/>
          <w:szCs w:val="20"/>
        </w:rPr>
      </w:pPr>
      <w:r w:rsidRPr="005D0C7C">
        <w:rPr>
          <w:rFonts w:ascii="Arial" w:hAnsi="Arial" w:cs="Arial"/>
          <w:sz w:val="20"/>
          <w:szCs w:val="20"/>
        </w:rPr>
        <w:t>Problema específico a atender:</w:t>
      </w:r>
    </w:p>
    <w:p w:rsidR="00D509AB" w:rsidRPr="005D0C7C" w:rsidRDefault="00644BFD" w:rsidP="00D509AB">
      <w:pPr>
        <w:spacing w:line="360" w:lineRule="auto"/>
        <w:jc w:val="both"/>
        <w:rPr>
          <w:rFonts w:ascii="Arial" w:hAnsi="Arial" w:cs="Arial"/>
          <w:sz w:val="20"/>
          <w:szCs w:val="20"/>
        </w:rPr>
      </w:pPr>
      <w:r>
        <w:rPr>
          <w:rFonts w:ascii="Arial" w:hAnsi="Arial" w:cs="Arial"/>
          <w:sz w:val="20"/>
          <w:szCs w:val="20"/>
        </w:rPr>
        <w:t xml:space="preserve">Existen múltiples cambios en materia legal, fiscal, contabilidad gubernamental, </w:t>
      </w:r>
      <w:r w:rsidR="004D5218">
        <w:rPr>
          <w:rFonts w:ascii="Arial" w:hAnsi="Arial" w:cs="Arial"/>
          <w:sz w:val="20"/>
          <w:szCs w:val="20"/>
        </w:rPr>
        <w:t xml:space="preserve">transparencia y </w:t>
      </w:r>
      <w:r>
        <w:rPr>
          <w:rFonts w:ascii="Arial" w:hAnsi="Arial" w:cs="Arial"/>
          <w:sz w:val="20"/>
          <w:szCs w:val="20"/>
        </w:rPr>
        <w:t>rendición de cuentas, nuevos procesos a</w:t>
      </w:r>
      <w:r w:rsidRPr="005D0C7C">
        <w:rPr>
          <w:rFonts w:ascii="Arial" w:hAnsi="Arial" w:cs="Arial"/>
          <w:sz w:val="20"/>
          <w:szCs w:val="20"/>
        </w:rPr>
        <w:t>dministrativo</w:t>
      </w:r>
      <w:r w:rsidR="004D5218">
        <w:rPr>
          <w:rFonts w:ascii="Arial" w:hAnsi="Arial" w:cs="Arial"/>
          <w:sz w:val="20"/>
          <w:szCs w:val="20"/>
        </w:rPr>
        <w:t xml:space="preserve">s públicos establecidos por </w:t>
      </w:r>
      <w:r w:rsidRPr="005D0C7C">
        <w:rPr>
          <w:rFonts w:ascii="Arial" w:hAnsi="Arial" w:cs="Arial"/>
          <w:sz w:val="20"/>
          <w:szCs w:val="20"/>
        </w:rPr>
        <w:t>leyes</w:t>
      </w:r>
      <w:r w:rsidR="004D5218">
        <w:rPr>
          <w:rFonts w:ascii="Arial" w:hAnsi="Arial" w:cs="Arial"/>
          <w:sz w:val="20"/>
          <w:szCs w:val="20"/>
        </w:rPr>
        <w:t xml:space="preserve">, lineamientos y por las </w:t>
      </w:r>
      <w:r w:rsidRPr="005D0C7C">
        <w:rPr>
          <w:rFonts w:ascii="Arial" w:hAnsi="Arial" w:cs="Arial"/>
          <w:sz w:val="20"/>
          <w:szCs w:val="20"/>
        </w:rPr>
        <w:t xml:space="preserve">entidades rectoras y </w:t>
      </w:r>
      <w:r w:rsidR="004D5218">
        <w:rPr>
          <w:rFonts w:ascii="Arial" w:hAnsi="Arial" w:cs="Arial"/>
          <w:sz w:val="20"/>
          <w:szCs w:val="20"/>
        </w:rPr>
        <w:t>fiscalizadoras; es entonces que se</w:t>
      </w:r>
      <w:r w:rsidRPr="005D0C7C">
        <w:rPr>
          <w:rFonts w:ascii="Arial" w:hAnsi="Arial" w:cs="Arial"/>
          <w:sz w:val="20"/>
          <w:szCs w:val="20"/>
        </w:rPr>
        <w:t xml:space="preserve"> </w:t>
      </w:r>
      <w:r w:rsidR="004D5218">
        <w:rPr>
          <w:rFonts w:ascii="Arial" w:hAnsi="Arial" w:cs="Arial"/>
          <w:sz w:val="20"/>
          <w:szCs w:val="20"/>
        </w:rPr>
        <w:t>hace</w:t>
      </w:r>
      <w:r>
        <w:rPr>
          <w:rFonts w:ascii="Arial" w:hAnsi="Arial" w:cs="Arial"/>
          <w:sz w:val="20"/>
          <w:szCs w:val="20"/>
        </w:rPr>
        <w:t xml:space="preserve"> </w:t>
      </w:r>
      <w:r w:rsidRPr="005D0C7C">
        <w:rPr>
          <w:rFonts w:ascii="Arial" w:hAnsi="Arial" w:cs="Arial"/>
          <w:sz w:val="20"/>
          <w:szCs w:val="20"/>
        </w:rPr>
        <w:t>necesario</w:t>
      </w:r>
      <w:r>
        <w:rPr>
          <w:rFonts w:ascii="Arial" w:hAnsi="Arial" w:cs="Arial"/>
          <w:sz w:val="20"/>
          <w:szCs w:val="20"/>
        </w:rPr>
        <w:t xml:space="preserve"> que el servidor público del FIGAROSY se capacite</w:t>
      </w:r>
      <w:r w:rsidRPr="005D0C7C">
        <w:rPr>
          <w:rFonts w:ascii="Arial" w:hAnsi="Arial" w:cs="Arial"/>
          <w:sz w:val="20"/>
          <w:szCs w:val="20"/>
        </w:rPr>
        <w:t xml:space="preserve"> </w:t>
      </w:r>
      <w:r>
        <w:rPr>
          <w:rFonts w:ascii="Arial" w:hAnsi="Arial" w:cs="Arial"/>
          <w:sz w:val="20"/>
          <w:szCs w:val="20"/>
        </w:rPr>
        <w:t xml:space="preserve">y </w:t>
      </w:r>
      <w:r w:rsidR="004D5218">
        <w:rPr>
          <w:rFonts w:ascii="Arial" w:hAnsi="Arial" w:cs="Arial"/>
          <w:sz w:val="20"/>
          <w:szCs w:val="20"/>
        </w:rPr>
        <w:t>se mantenga actualizado</w:t>
      </w:r>
      <w:r w:rsidRPr="005D0C7C">
        <w:rPr>
          <w:rFonts w:ascii="Arial" w:hAnsi="Arial" w:cs="Arial"/>
          <w:sz w:val="20"/>
          <w:szCs w:val="20"/>
        </w:rPr>
        <w:t xml:space="preserve">, con el fin de </w:t>
      </w:r>
      <w:r w:rsidR="004D5218">
        <w:rPr>
          <w:rFonts w:ascii="Arial" w:hAnsi="Arial" w:cs="Arial"/>
          <w:sz w:val="20"/>
          <w:szCs w:val="20"/>
        </w:rPr>
        <w:t xml:space="preserve">promover </w:t>
      </w:r>
      <w:r w:rsidRPr="005D0C7C">
        <w:rPr>
          <w:rFonts w:ascii="Arial" w:hAnsi="Arial" w:cs="Arial"/>
          <w:sz w:val="20"/>
          <w:szCs w:val="20"/>
        </w:rPr>
        <w:t xml:space="preserve">una mejora continua en el desempeño de </w:t>
      </w:r>
      <w:r w:rsidR="004D5218">
        <w:rPr>
          <w:rFonts w:ascii="Arial" w:hAnsi="Arial" w:cs="Arial"/>
          <w:sz w:val="20"/>
          <w:szCs w:val="20"/>
        </w:rPr>
        <w:t>las</w:t>
      </w:r>
      <w:r w:rsidRPr="005D0C7C">
        <w:rPr>
          <w:rFonts w:ascii="Arial" w:hAnsi="Arial" w:cs="Arial"/>
          <w:sz w:val="20"/>
          <w:szCs w:val="20"/>
        </w:rPr>
        <w:t xml:space="preserve"> labores</w:t>
      </w:r>
      <w:r w:rsidR="004D5218">
        <w:rPr>
          <w:rFonts w:ascii="Arial" w:hAnsi="Arial" w:cs="Arial"/>
          <w:sz w:val="20"/>
          <w:szCs w:val="20"/>
        </w:rPr>
        <w:t xml:space="preserve"> de todo el personal, lo que necesariamente irá</w:t>
      </w:r>
      <w:r w:rsidRPr="005D0C7C">
        <w:rPr>
          <w:rFonts w:ascii="Arial" w:hAnsi="Arial" w:cs="Arial"/>
          <w:sz w:val="20"/>
          <w:szCs w:val="20"/>
        </w:rPr>
        <w:t xml:space="preserve"> en beneficio de la </w:t>
      </w:r>
      <w:r w:rsidR="004D5218">
        <w:rPr>
          <w:rFonts w:ascii="Arial" w:hAnsi="Arial" w:cs="Arial"/>
          <w:sz w:val="20"/>
          <w:szCs w:val="20"/>
        </w:rPr>
        <w:t>propia Entidad</w:t>
      </w:r>
      <w:r w:rsidR="00D509AB" w:rsidRPr="005D0C7C">
        <w:rPr>
          <w:rFonts w:ascii="Arial" w:hAnsi="Arial" w:cs="Arial"/>
          <w:sz w:val="20"/>
          <w:szCs w:val="20"/>
        </w:rPr>
        <w:t>.</w:t>
      </w:r>
    </w:p>
    <w:p w:rsidR="00D509AB" w:rsidRDefault="00D509AB" w:rsidP="00D509AB">
      <w:pPr>
        <w:spacing w:line="360" w:lineRule="auto"/>
        <w:jc w:val="both"/>
        <w:rPr>
          <w:rFonts w:ascii="Arial" w:hAnsi="Arial" w:cs="Arial"/>
          <w:sz w:val="20"/>
          <w:szCs w:val="20"/>
        </w:rPr>
      </w:pPr>
    </w:p>
    <w:p w:rsidR="00D509AB" w:rsidRPr="005D0C7C" w:rsidRDefault="00D509AB" w:rsidP="00D509AB">
      <w:pPr>
        <w:spacing w:line="360" w:lineRule="auto"/>
        <w:jc w:val="both"/>
        <w:rPr>
          <w:rFonts w:ascii="Arial" w:hAnsi="Arial" w:cs="Arial"/>
          <w:sz w:val="20"/>
          <w:szCs w:val="20"/>
        </w:rPr>
      </w:pPr>
      <w:r w:rsidRPr="005D0C7C">
        <w:rPr>
          <w:rFonts w:ascii="Arial" w:hAnsi="Arial" w:cs="Arial"/>
          <w:sz w:val="20"/>
          <w:szCs w:val="20"/>
        </w:rPr>
        <w:t>Objetivo:</w:t>
      </w:r>
    </w:p>
    <w:p w:rsidR="00D509AB" w:rsidRPr="005D0C7C" w:rsidRDefault="004D5218" w:rsidP="00D509AB">
      <w:pPr>
        <w:spacing w:line="360" w:lineRule="auto"/>
        <w:jc w:val="both"/>
        <w:rPr>
          <w:rFonts w:ascii="Arial" w:hAnsi="Arial" w:cs="Arial"/>
          <w:sz w:val="20"/>
          <w:szCs w:val="20"/>
        </w:rPr>
      </w:pPr>
      <w:r>
        <w:rPr>
          <w:rFonts w:ascii="Arial" w:hAnsi="Arial" w:cs="Arial"/>
          <w:sz w:val="20"/>
          <w:szCs w:val="20"/>
        </w:rPr>
        <w:t>Las u</w:t>
      </w:r>
      <w:r w:rsidR="00644BFD">
        <w:rPr>
          <w:rFonts w:ascii="Arial" w:hAnsi="Arial" w:cs="Arial"/>
          <w:sz w:val="20"/>
          <w:szCs w:val="20"/>
        </w:rPr>
        <w:t>nida</w:t>
      </w:r>
      <w:r>
        <w:rPr>
          <w:rFonts w:ascii="Arial" w:hAnsi="Arial" w:cs="Arial"/>
          <w:sz w:val="20"/>
          <w:szCs w:val="20"/>
        </w:rPr>
        <w:t>des administrativas del Fideicomiso Garante de la Orquesta Sinfónica de Yucatán</w:t>
      </w:r>
      <w:r w:rsidR="00644BFD">
        <w:rPr>
          <w:rFonts w:ascii="Arial" w:hAnsi="Arial" w:cs="Arial"/>
          <w:sz w:val="20"/>
          <w:szCs w:val="20"/>
        </w:rPr>
        <w:t xml:space="preserve"> cuentan con una administración eficiente de recursos para su operación mediante </w:t>
      </w:r>
      <w:r>
        <w:rPr>
          <w:rFonts w:ascii="Arial" w:hAnsi="Arial" w:cs="Arial"/>
          <w:sz w:val="20"/>
          <w:szCs w:val="20"/>
        </w:rPr>
        <w:t>personal capacitado para</w:t>
      </w:r>
      <w:r w:rsidR="00644BFD" w:rsidRPr="005D0C7C">
        <w:rPr>
          <w:rFonts w:ascii="Arial" w:hAnsi="Arial" w:cs="Arial"/>
          <w:sz w:val="20"/>
          <w:szCs w:val="20"/>
        </w:rPr>
        <w:t xml:space="preserve"> </w:t>
      </w:r>
      <w:r>
        <w:rPr>
          <w:rFonts w:ascii="Arial" w:hAnsi="Arial" w:cs="Arial"/>
          <w:sz w:val="20"/>
          <w:szCs w:val="20"/>
        </w:rPr>
        <w:t>realizar sus funciones.</w:t>
      </w:r>
    </w:p>
    <w:p w:rsidR="00D509AB" w:rsidRDefault="00D509AB" w:rsidP="00D509AB">
      <w:pPr>
        <w:spacing w:line="360" w:lineRule="auto"/>
        <w:jc w:val="both"/>
        <w:rPr>
          <w:rFonts w:ascii="Arial" w:hAnsi="Arial" w:cs="Arial"/>
          <w:sz w:val="20"/>
          <w:szCs w:val="20"/>
        </w:rPr>
      </w:pPr>
    </w:p>
    <w:p w:rsidR="00D509AB" w:rsidRDefault="00D509AB" w:rsidP="00D509AB">
      <w:pPr>
        <w:spacing w:line="360" w:lineRule="auto"/>
        <w:jc w:val="both"/>
        <w:rPr>
          <w:rFonts w:ascii="Arial" w:hAnsi="Arial" w:cs="Arial"/>
          <w:sz w:val="20"/>
          <w:szCs w:val="20"/>
        </w:rPr>
      </w:pPr>
      <w:r w:rsidRPr="005D0C7C">
        <w:rPr>
          <w:rFonts w:ascii="Arial" w:hAnsi="Arial" w:cs="Arial"/>
          <w:sz w:val="20"/>
          <w:szCs w:val="20"/>
        </w:rPr>
        <w:t>A continuación se describe el indicador y la comparación de la meta que se des</w:t>
      </w:r>
      <w:r w:rsidR="00387ED2">
        <w:rPr>
          <w:rFonts w:ascii="Arial" w:hAnsi="Arial" w:cs="Arial"/>
          <w:sz w:val="20"/>
          <w:szCs w:val="20"/>
        </w:rPr>
        <w:t>ea alcanzar en el ejercicio 2020</w:t>
      </w:r>
      <w:r w:rsidRPr="005D0C7C">
        <w:rPr>
          <w:rFonts w:ascii="Arial" w:hAnsi="Arial" w:cs="Arial"/>
          <w:sz w:val="20"/>
          <w:szCs w:val="20"/>
        </w:rPr>
        <w:t xml:space="preserve"> y el resultado obtenido por el perío</w:t>
      </w:r>
      <w:r>
        <w:rPr>
          <w:rFonts w:ascii="Arial" w:hAnsi="Arial" w:cs="Arial"/>
          <w:sz w:val="20"/>
          <w:szCs w:val="20"/>
        </w:rPr>
        <w:t xml:space="preserve">do del </w:t>
      </w:r>
      <w:r w:rsidR="00D73F84">
        <w:rPr>
          <w:rFonts w:ascii="Arial" w:hAnsi="Arial" w:cs="Arial"/>
          <w:sz w:val="20"/>
          <w:szCs w:val="20"/>
        </w:rPr>
        <w:t>1</w:t>
      </w:r>
      <w:r w:rsidR="004A14BB">
        <w:rPr>
          <w:rFonts w:ascii="Arial" w:hAnsi="Arial" w:cs="Arial"/>
          <w:sz w:val="20"/>
          <w:szCs w:val="20"/>
        </w:rPr>
        <w:t xml:space="preserve"> de Enero</w:t>
      </w:r>
      <w:r w:rsidR="004D5218">
        <w:rPr>
          <w:rFonts w:ascii="Arial" w:hAnsi="Arial" w:cs="Arial"/>
          <w:sz w:val="20"/>
          <w:szCs w:val="20"/>
        </w:rPr>
        <w:t xml:space="preserve"> </w:t>
      </w:r>
      <w:r w:rsidR="00DD468B">
        <w:rPr>
          <w:rFonts w:ascii="Arial" w:hAnsi="Arial" w:cs="Arial"/>
          <w:sz w:val="20"/>
          <w:szCs w:val="20"/>
        </w:rPr>
        <w:t>al 31</w:t>
      </w:r>
      <w:r w:rsidR="00387ED2">
        <w:rPr>
          <w:rFonts w:ascii="Arial" w:hAnsi="Arial" w:cs="Arial"/>
          <w:sz w:val="20"/>
          <w:szCs w:val="20"/>
        </w:rPr>
        <w:t xml:space="preserve"> </w:t>
      </w:r>
      <w:r w:rsidR="00890EC0">
        <w:rPr>
          <w:rFonts w:ascii="Arial" w:hAnsi="Arial" w:cs="Arial"/>
          <w:sz w:val="20"/>
          <w:szCs w:val="20"/>
        </w:rPr>
        <w:t xml:space="preserve">de </w:t>
      </w:r>
      <w:r w:rsidR="00DD468B">
        <w:rPr>
          <w:rFonts w:ascii="Arial" w:hAnsi="Arial" w:cs="Arial"/>
          <w:sz w:val="20"/>
          <w:szCs w:val="20"/>
        </w:rPr>
        <w:t>Dic</w:t>
      </w:r>
      <w:r w:rsidR="0073563A">
        <w:rPr>
          <w:rFonts w:ascii="Arial" w:hAnsi="Arial" w:cs="Arial"/>
          <w:sz w:val="20"/>
          <w:szCs w:val="20"/>
        </w:rPr>
        <w:t>iem</w:t>
      </w:r>
      <w:r w:rsidR="00A725DA">
        <w:rPr>
          <w:rFonts w:ascii="Arial" w:hAnsi="Arial" w:cs="Arial"/>
          <w:sz w:val="20"/>
          <w:szCs w:val="20"/>
        </w:rPr>
        <w:t>bre</w:t>
      </w:r>
      <w:r w:rsidR="00890EC0">
        <w:rPr>
          <w:rFonts w:ascii="Arial" w:hAnsi="Arial" w:cs="Arial"/>
          <w:sz w:val="20"/>
          <w:szCs w:val="20"/>
        </w:rPr>
        <w:t xml:space="preserve"> </w:t>
      </w:r>
      <w:r w:rsidR="00D73F84" w:rsidRPr="00D509AB">
        <w:rPr>
          <w:rFonts w:ascii="Arial" w:hAnsi="Arial" w:cs="Arial"/>
          <w:sz w:val="20"/>
          <w:szCs w:val="20"/>
        </w:rPr>
        <w:t>de 20</w:t>
      </w:r>
      <w:r w:rsidR="00387ED2">
        <w:rPr>
          <w:rFonts w:ascii="Arial" w:hAnsi="Arial" w:cs="Arial"/>
          <w:sz w:val="20"/>
          <w:szCs w:val="20"/>
        </w:rPr>
        <w:t>20</w:t>
      </w:r>
      <w:r w:rsidRPr="005D0C7C">
        <w:rPr>
          <w:rFonts w:ascii="Arial" w:hAnsi="Arial" w:cs="Arial"/>
          <w:sz w:val="20"/>
          <w:szCs w:val="20"/>
        </w:rPr>
        <w:t>:</w:t>
      </w:r>
    </w:p>
    <w:p w:rsidR="00D509AB" w:rsidRPr="005D0C7C" w:rsidRDefault="00D509AB" w:rsidP="00D509AB">
      <w:pPr>
        <w:spacing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4361"/>
        <w:gridCol w:w="1401"/>
        <w:gridCol w:w="1292"/>
      </w:tblGrid>
      <w:tr w:rsidR="00D509AB" w:rsidRPr="001664BE" w:rsidTr="00D74363">
        <w:trPr>
          <w:jc w:val="center"/>
        </w:trPr>
        <w:tc>
          <w:tcPr>
            <w:tcW w:w="4361" w:type="dxa"/>
          </w:tcPr>
          <w:p w:rsidR="00D509AB" w:rsidRPr="00D509AB" w:rsidRDefault="00D509AB" w:rsidP="00D509AB">
            <w:pPr>
              <w:jc w:val="center"/>
              <w:rPr>
                <w:rFonts w:ascii="Arial" w:hAnsi="Arial" w:cs="Arial"/>
                <w:sz w:val="20"/>
                <w:szCs w:val="20"/>
              </w:rPr>
            </w:pPr>
            <w:r w:rsidRPr="00D509AB">
              <w:rPr>
                <w:rFonts w:ascii="Arial" w:hAnsi="Arial" w:cs="Arial"/>
                <w:sz w:val="20"/>
                <w:szCs w:val="20"/>
              </w:rPr>
              <w:t>Nombre de Indicadores</w:t>
            </w:r>
          </w:p>
        </w:tc>
        <w:tc>
          <w:tcPr>
            <w:tcW w:w="1401" w:type="dxa"/>
          </w:tcPr>
          <w:p w:rsidR="00D509AB" w:rsidRPr="00D509AB" w:rsidRDefault="00D509AB" w:rsidP="00D509AB">
            <w:pPr>
              <w:jc w:val="center"/>
              <w:rPr>
                <w:rFonts w:ascii="Arial" w:hAnsi="Arial" w:cs="Arial"/>
                <w:sz w:val="20"/>
                <w:szCs w:val="20"/>
              </w:rPr>
            </w:pPr>
            <w:r w:rsidRPr="00D509AB">
              <w:rPr>
                <w:rFonts w:ascii="Arial" w:hAnsi="Arial" w:cs="Arial"/>
                <w:sz w:val="20"/>
                <w:szCs w:val="20"/>
              </w:rPr>
              <w:t>Meta</w:t>
            </w:r>
          </w:p>
        </w:tc>
        <w:tc>
          <w:tcPr>
            <w:tcW w:w="1292" w:type="dxa"/>
          </w:tcPr>
          <w:p w:rsidR="00D509AB" w:rsidRPr="00D509AB" w:rsidRDefault="00D509AB" w:rsidP="00D509AB">
            <w:pPr>
              <w:jc w:val="center"/>
              <w:rPr>
                <w:rFonts w:ascii="Arial" w:hAnsi="Arial" w:cs="Arial"/>
                <w:sz w:val="20"/>
                <w:szCs w:val="20"/>
              </w:rPr>
            </w:pPr>
            <w:r w:rsidRPr="00D509AB">
              <w:rPr>
                <w:rFonts w:ascii="Arial" w:hAnsi="Arial" w:cs="Arial"/>
                <w:sz w:val="20"/>
                <w:szCs w:val="20"/>
              </w:rPr>
              <w:t>Resultado</w:t>
            </w:r>
          </w:p>
        </w:tc>
      </w:tr>
      <w:tr w:rsidR="00D509AB" w:rsidRPr="001664BE" w:rsidTr="00D74363">
        <w:trPr>
          <w:jc w:val="center"/>
        </w:trPr>
        <w:tc>
          <w:tcPr>
            <w:tcW w:w="4361" w:type="dxa"/>
          </w:tcPr>
          <w:p w:rsidR="00D509AB" w:rsidRPr="00D509AB" w:rsidRDefault="00D509AB" w:rsidP="00D509AB">
            <w:pPr>
              <w:rPr>
                <w:rFonts w:ascii="Arial" w:hAnsi="Arial" w:cs="Arial"/>
                <w:sz w:val="20"/>
                <w:szCs w:val="20"/>
              </w:rPr>
            </w:pPr>
            <w:r w:rsidRPr="00D509AB">
              <w:rPr>
                <w:rFonts w:ascii="Arial" w:hAnsi="Arial" w:cs="Arial"/>
                <w:sz w:val="20"/>
                <w:szCs w:val="20"/>
              </w:rPr>
              <w:t>Porcentaje del personal beneficiado</w:t>
            </w:r>
          </w:p>
        </w:tc>
        <w:tc>
          <w:tcPr>
            <w:tcW w:w="1401" w:type="dxa"/>
          </w:tcPr>
          <w:p w:rsidR="00D509AB" w:rsidRPr="00D509AB" w:rsidRDefault="00F25F81" w:rsidP="00644BFD">
            <w:pPr>
              <w:jc w:val="center"/>
              <w:rPr>
                <w:rFonts w:ascii="Arial" w:hAnsi="Arial" w:cs="Arial"/>
                <w:sz w:val="20"/>
                <w:szCs w:val="20"/>
              </w:rPr>
            </w:pPr>
            <w:r>
              <w:rPr>
                <w:rFonts w:ascii="Arial" w:hAnsi="Arial" w:cs="Arial"/>
                <w:sz w:val="20"/>
                <w:szCs w:val="20"/>
              </w:rPr>
              <w:t>9</w:t>
            </w:r>
            <w:r w:rsidR="00644BFD">
              <w:rPr>
                <w:rFonts w:ascii="Arial" w:hAnsi="Arial" w:cs="Arial"/>
                <w:sz w:val="20"/>
                <w:szCs w:val="20"/>
              </w:rPr>
              <w:t>2</w:t>
            </w:r>
            <w:r w:rsidR="00D509AB" w:rsidRPr="00D509AB">
              <w:rPr>
                <w:rFonts w:ascii="Arial" w:hAnsi="Arial" w:cs="Arial"/>
                <w:sz w:val="20"/>
                <w:szCs w:val="20"/>
              </w:rPr>
              <w:t xml:space="preserve"> %</w:t>
            </w:r>
          </w:p>
        </w:tc>
        <w:tc>
          <w:tcPr>
            <w:tcW w:w="1292" w:type="dxa"/>
          </w:tcPr>
          <w:p w:rsidR="00D509AB" w:rsidRPr="00D509AB" w:rsidRDefault="00DD468B" w:rsidP="00CD1AD4">
            <w:pPr>
              <w:jc w:val="center"/>
              <w:rPr>
                <w:rFonts w:ascii="Arial" w:hAnsi="Arial" w:cs="Arial"/>
                <w:sz w:val="20"/>
                <w:szCs w:val="20"/>
              </w:rPr>
            </w:pPr>
            <w:r>
              <w:rPr>
                <w:rFonts w:ascii="Arial" w:hAnsi="Arial" w:cs="Arial"/>
                <w:sz w:val="20"/>
                <w:szCs w:val="20"/>
              </w:rPr>
              <w:t>94</w:t>
            </w:r>
            <w:r w:rsidR="00D509AB" w:rsidRPr="00D509AB">
              <w:rPr>
                <w:rFonts w:ascii="Arial" w:hAnsi="Arial" w:cs="Arial"/>
                <w:sz w:val="20"/>
                <w:szCs w:val="20"/>
              </w:rPr>
              <w:t xml:space="preserve"> %</w:t>
            </w:r>
          </w:p>
        </w:tc>
      </w:tr>
    </w:tbl>
    <w:p w:rsidR="00D509AB" w:rsidRPr="005D0C7C" w:rsidRDefault="00D509AB" w:rsidP="00D509AB">
      <w:pPr>
        <w:jc w:val="both"/>
        <w:rPr>
          <w:rFonts w:ascii="Arial" w:hAnsi="Arial" w:cs="Arial"/>
        </w:rPr>
      </w:pPr>
    </w:p>
    <w:p w:rsidR="00EB3D10" w:rsidRPr="00EB3D10" w:rsidRDefault="00EB3D10" w:rsidP="00EB3D10">
      <w:pPr>
        <w:spacing w:line="360" w:lineRule="auto"/>
        <w:jc w:val="both"/>
        <w:rPr>
          <w:rFonts w:ascii="Arial" w:hAnsi="Arial" w:cs="Arial"/>
          <w:sz w:val="20"/>
          <w:szCs w:val="20"/>
        </w:rPr>
      </w:pPr>
      <w:r w:rsidRPr="00EB3D10">
        <w:rPr>
          <w:rFonts w:ascii="Arial" w:hAnsi="Arial" w:cs="Arial"/>
          <w:sz w:val="20"/>
          <w:szCs w:val="20"/>
        </w:rPr>
        <w:t>Durante</w:t>
      </w:r>
      <w:r w:rsidR="00A40292">
        <w:rPr>
          <w:rFonts w:ascii="Arial" w:hAnsi="Arial" w:cs="Arial"/>
          <w:sz w:val="20"/>
          <w:szCs w:val="20"/>
        </w:rPr>
        <w:t xml:space="preserve"> el período del </w:t>
      </w:r>
      <w:r w:rsidR="00D73F84">
        <w:rPr>
          <w:rFonts w:ascii="Arial" w:hAnsi="Arial" w:cs="Arial"/>
          <w:sz w:val="20"/>
          <w:szCs w:val="20"/>
        </w:rPr>
        <w:t>1</w:t>
      </w:r>
      <w:r w:rsidR="00387ED2">
        <w:rPr>
          <w:rFonts w:ascii="Arial" w:hAnsi="Arial" w:cs="Arial"/>
          <w:sz w:val="20"/>
          <w:szCs w:val="20"/>
        </w:rPr>
        <w:t xml:space="preserve"> </w:t>
      </w:r>
      <w:r w:rsidR="00D94F99">
        <w:rPr>
          <w:rFonts w:ascii="Arial" w:hAnsi="Arial" w:cs="Arial"/>
          <w:sz w:val="20"/>
          <w:szCs w:val="20"/>
        </w:rPr>
        <w:t xml:space="preserve">de Enero </w:t>
      </w:r>
      <w:r w:rsidR="00387ED2">
        <w:rPr>
          <w:rFonts w:ascii="Arial" w:hAnsi="Arial" w:cs="Arial"/>
          <w:sz w:val="20"/>
          <w:szCs w:val="20"/>
        </w:rPr>
        <w:t xml:space="preserve">al </w:t>
      </w:r>
      <w:r w:rsidR="00D72309">
        <w:rPr>
          <w:rFonts w:ascii="Arial" w:hAnsi="Arial" w:cs="Arial"/>
          <w:sz w:val="20"/>
          <w:szCs w:val="20"/>
        </w:rPr>
        <w:t>3</w:t>
      </w:r>
      <w:r w:rsidR="00DD468B">
        <w:rPr>
          <w:rFonts w:ascii="Arial" w:hAnsi="Arial" w:cs="Arial"/>
          <w:sz w:val="20"/>
          <w:szCs w:val="20"/>
        </w:rPr>
        <w:t>1</w:t>
      </w:r>
      <w:r w:rsidR="004D5218">
        <w:rPr>
          <w:rFonts w:ascii="Arial" w:hAnsi="Arial" w:cs="Arial"/>
          <w:sz w:val="20"/>
          <w:szCs w:val="20"/>
        </w:rPr>
        <w:t xml:space="preserve"> </w:t>
      </w:r>
      <w:r w:rsidR="00890EC0">
        <w:rPr>
          <w:rFonts w:ascii="Arial" w:hAnsi="Arial" w:cs="Arial"/>
          <w:sz w:val="20"/>
          <w:szCs w:val="20"/>
        </w:rPr>
        <w:t xml:space="preserve">de </w:t>
      </w:r>
      <w:r w:rsidR="00DD468B">
        <w:rPr>
          <w:rFonts w:ascii="Arial" w:hAnsi="Arial" w:cs="Arial"/>
          <w:sz w:val="20"/>
          <w:szCs w:val="20"/>
        </w:rPr>
        <w:t>Dic</w:t>
      </w:r>
      <w:r w:rsidR="0073563A">
        <w:rPr>
          <w:rFonts w:ascii="Arial" w:hAnsi="Arial" w:cs="Arial"/>
          <w:sz w:val="20"/>
          <w:szCs w:val="20"/>
        </w:rPr>
        <w:t>iem</w:t>
      </w:r>
      <w:r w:rsidR="00A725DA">
        <w:rPr>
          <w:rFonts w:ascii="Arial" w:hAnsi="Arial" w:cs="Arial"/>
          <w:sz w:val="20"/>
          <w:szCs w:val="20"/>
        </w:rPr>
        <w:t>bre</w:t>
      </w:r>
      <w:r w:rsidR="00890EC0">
        <w:rPr>
          <w:rFonts w:ascii="Arial" w:hAnsi="Arial" w:cs="Arial"/>
          <w:sz w:val="20"/>
          <w:szCs w:val="20"/>
        </w:rPr>
        <w:t xml:space="preserve"> </w:t>
      </w:r>
      <w:r w:rsidR="00D73F84" w:rsidRPr="00D509AB">
        <w:rPr>
          <w:rFonts w:ascii="Arial" w:hAnsi="Arial" w:cs="Arial"/>
          <w:sz w:val="20"/>
          <w:szCs w:val="20"/>
        </w:rPr>
        <w:t>de 20</w:t>
      </w:r>
      <w:r w:rsidR="00387ED2">
        <w:rPr>
          <w:rFonts w:ascii="Arial" w:hAnsi="Arial" w:cs="Arial"/>
          <w:sz w:val="20"/>
          <w:szCs w:val="20"/>
        </w:rPr>
        <w:t>20</w:t>
      </w:r>
      <w:r w:rsidRPr="00EB3D10">
        <w:rPr>
          <w:rFonts w:ascii="Arial" w:hAnsi="Arial" w:cs="Arial"/>
          <w:sz w:val="20"/>
          <w:szCs w:val="20"/>
        </w:rPr>
        <w:t xml:space="preserve"> se capacitó el </w:t>
      </w:r>
      <w:r w:rsidR="00DD468B">
        <w:rPr>
          <w:rFonts w:ascii="Arial" w:hAnsi="Arial" w:cs="Arial"/>
          <w:sz w:val="20"/>
          <w:szCs w:val="20"/>
        </w:rPr>
        <w:t>94</w:t>
      </w:r>
      <w:r w:rsidRPr="00EB3D10">
        <w:rPr>
          <w:rFonts w:ascii="Arial" w:hAnsi="Arial" w:cs="Arial"/>
          <w:sz w:val="20"/>
          <w:szCs w:val="20"/>
        </w:rPr>
        <w:t xml:space="preserve"> % respecto al total del personal</w:t>
      </w:r>
      <w:r w:rsidR="00F25F81">
        <w:rPr>
          <w:rFonts w:ascii="Arial" w:hAnsi="Arial" w:cs="Arial"/>
          <w:sz w:val="20"/>
          <w:szCs w:val="20"/>
        </w:rPr>
        <w:t xml:space="preserve"> administrativo</w:t>
      </w:r>
      <w:r w:rsidR="00C00E96">
        <w:rPr>
          <w:rFonts w:ascii="Arial" w:hAnsi="Arial" w:cs="Arial"/>
          <w:sz w:val="20"/>
          <w:szCs w:val="20"/>
        </w:rPr>
        <w:t xml:space="preserve"> adscrito al FIGAROSY, para llevar a cabo este proyecto se ejerció la cantidad de</w:t>
      </w:r>
      <w:r w:rsidR="0073563A">
        <w:rPr>
          <w:rFonts w:ascii="Arial" w:hAnsi="Arial" w:cs="Arial"/>
          <w:sz w:val="20"/>
          <w:szCs w:val="20"/>
        </w:rPr>
        <w:t xml:space="preserve">     </w:t>
      </w:r>
      <w:r w:rsidR="00DD468B">
        <w:rPr>
          <w:rFonts w:ascii="Arial" w:hAnsi="Arial" w:cs="Arial"/>
          <w:sz w:val="20"/>
          <w:szCs w:val="20"/>
        </w:rPr>
        <w:t xml:space="preserve">               </w:t>
      </w:r>
      <w:r w:rsidR="0073563A">
        <w:rPr>
          <w:rFonts w:ascii="Arial" w:hAnsi="Arial" w:cs="Arial"/>
          <w:sz w:val="20"/>
          <w:szCs w:val="20"/>
        </w:rPr>
        <w:t xml:space="preserve">      </w:t>
      </w:r>
      <w:r w:rsidR="00C00E96">
        <w:rPr>
          <w:rFonts w:ascii="Arial" w:hAnsi="Arial" w:cs="Arial"/>
          <w:sz w:val="20"/>
          <w:szCs w:val="20"/>
        </w:rPr>
        <w:t xml:space="preserve"> $ </w:t>
      </w:r>
      <w:r w:rsidR="00DD468B">
        <w:rPr>
          <w:rFonts w:ascii="Arial" w:hAnsi="Arial" w:cs="Arial"/>
          <w:sz w:val="20"/>
          <w:szCs w:val="20"/>
        </w:rPr>
        <w:t>87</w:t>
      </w:r>
      <w:r w:rsidR="00A725DA">
        <w:rPr>
          <w:rFonts w:ascii="Arial" w:hAnsi="Arial" w:cs="Arial"/>
          <w:sz w:val="20"/>
          <w:szCs w:val="20"/>
        </w:rPr>
        <w:t>,</w:t>
      </w:r>
      <w:r w:rsidR="00DD468B">
        <w:rPr>
          <w:rFonts w:ascii="Arial" w:hAnsi="Arial" w:cs="Arial"/>
          <w:sz w:val="20"/>
          <w:szCs w:val="20"/>
        </w:rPr>
        <w:t>848</w:t>
      </w:r>
      <w:r w:rsidR="00C00E96">
        <w:rPr>
          <w:rFonts w:ascii="Arial" w:hAnsi="Arial" w:cs="Arial"/>
          <w:sz w:val="20"/>
          <w:szCs w:val="20"/>
        </w:rPr>
        <w:t xml:space="preserve">.00, quedando pendiente de ejercer la cantidad $ </w:t>
      </w:r>
      <w:r w:rsidR="0073563A">
        <w:rPr>
          <w:rFonts w:ascii="Arial" w:hAnsi="Arial" w:cs="Arial"/>
          <w:sz w:val="20"/>
          <w:szCs w:val="20"/>
        </w:rPr>
        <w:t>25</w:t>
      </w:r>
      <w:r w:rsidR="00DD468B">
        <w:rPr>
          <w:rFonts w:ascii="Arial" w:hAnsi="Arial" w:cs="Arial"/>
          <w:sz w:val="20"/>
          <w:szCs w:val="20"/>
        </w:rPr>
        <w:t>1</w:t>
      </w:r>
      <w:r w:rsidR="00D72309">
        <w:rPr>
          <w:rFonts w:ascii="Arial" w:hAnsi="Arial" w:cs="Arial"/>
          <w:sz w:val="20"/>
          <w:szCs w:val="20"/>
        </w:rPr>
        <w:t>,</w:t>
      </w:r>
      <w:r w:rsidR="00DD468B">
        <w:rPr>
          <w:rFonts w:ascii="Arial" w:hAnsi="Arial" w:cs="Arial"/>
          <w:sz w:val="20"/>
          <w:szCs w:val="20"/>
        </w:rPr>
        <w:t>875</w:t>
      </w:r>
      <w:r w:rsidR="00C00E96">
        <w:rPr>
          <w:rFonts w:ascii="Arial" w:hAnsi="Arial" w:cs="Arial"/>
          <w:sz w:val="20"/>
          <w:szCs w:val="20"/>
        </w:rPr>
        <w:t>.00.</w:t>
      </w:r>
    </w:p>
    <w:p w:rsidR="00C00E96" w:rsidRPr="00EB3D10" w:rsidRDefault="00C00E96" w:rsidP="00D509AB">
      <w:pPr>
        <w:spacing w:line="360" w:lineRule="auto"/>
        <w:jc w:val="both"/>
        <w:rPr>
          <w:rFonts w:ascii="Arial" w:hAnsi="Arial" w:cs="Arial"/>
          <w:sz w:val="20"/>
          <w:szCs w:val="20"/>
        </w:rPr>
      </w:pPr>
    </w:p>
    <w:p w:rsidR="00D509AB" w:rsidRPr="00AD0D16" w:rsidRDefault="00D509AB" w:rsidP="00D509AB">
      <w:pPr>
        <w:pStyle w:val="Prrafodelista"/>
        <w:numPr>
          <w:ilvl w:val="0"/>
          <w:numId w:val="40"/>
        </w:numPr>
        <w:tabs>
          <w:tab w:val="left" w:pos="284"/>
          <w:tab w:val="left" w:pos="851"/>
        </w:tabs>
        <w:spacing w:after="200" w:line="360" w:lineRule="auto"/>
        <w:ind w:left="0" w:firstLine="0"/>
        <w:jc w:val="both"/>
        <w:rPr>
          <w:rFonts w:ascii="Arial" w:hAnsi="Arial" w:cs="Arial"/>
          <w:b/>
          <w:sz w:val="20"/>
          <w:szCs w:val="20"/>
        </w:rPr>
      </w:pPr>
      <w:r w:rsidRPr="00AD0D16">
        <w:rPr>
          <w:rFonts w:ascii="Arial" w:hAnsi="Arial" w:cs="Arial"/>
          <w:b/>
          <w:sz w:val="20"/>
          <w:szCs w:val="20"/>
        </w:rPr>
        <w:t>Administración de recursos financieros y materiales del Fideicomiso Garante de la Orquesta Sinfónica de Yucatán (UBP-13937).</w:t>
      </w:r>
    </w:p>
    <w:p w:rsidR="00D509AB" w:rsidRPr="00561D77" w:rsidRDefault="00D509AB" w:rsidP="00D509AB">
      <w:pPr>
        <w:spacing w:line="360" w:lineRule="auto"/>
        <w:jc w:val="both"/>
        <w:rPr>
          <w:rFonts w:ascii="Arial" w:hAnsi="Arial" w:cs="Arial"/>
          <w:sz w:val="20"/>
          <w:szCs w:val="20"/>
        </w:rPr>
      </w:pPr>
      <w:r w:rsidRPr="00561D77">
        <w:rPr>
          <w:rFonts w:ascii="Arial" w:hAnsi="Arial" w:cs="Arial"/>
          <w:sz w:val="20"/>
          <w:szCs w:val="20"/>
        </w:rPr>
        <w:t>Descripción:</w:t>
      </w:r>
    </w:p>
    <w:p w:rsidR="00D509AB" w:rsidRPr="00561D77" w:rsidRDefault="00644BFD" w:rsidP="00D509AB">
      <w:pPr>
        <w:spacing w:line="360" w:lineRule="auto"/>
        <w:jc w:val="both"/>
        <w:rPr>
          <w:rFonts w:ascii="Arial" w:hAnsi="Arial" w:cs="Arial"/>
          <w:sz w:val="20"/>
          <w:szCs w:val="20"/>
        </w:rPr>
      </w:pPr>
      <w:r w:rsidRPr="00AD0D16">
        <w:rPr>
          <w:rFonts w:ascii="Arial" w:hAnsi="Arial" w:cs="Arial"/>
          <w:sz w:val="20"/>
          <w:szCs w:val="20"/>
        </w:rPr>
        <w:t>Proporcionar los</w:t>
      </w:r>
      <w:r>
        <w:rPr>
          <w:rFonts w:ascii="Arial" w:hAnsi="Arial" w:cs="Arial"/>
          <w:sz w:val="20"/>
          <w:szCs w:val="20"/>
        </w:rPr>
        <w:t xml:space="preserve"> recursos </w:t>
      </w:r>
      <w:r w:rsidR="008D108D">
        <w:rPr>
          <w:rFonts w:ascii="Arial" w:hAnsi="Arial" w:cs="Arial"/>
          <w:sz w:val="20"/>
          <w:szCs w:val="20"/>
        </w:rPr>
        <w:t xml:space="preserve">materiales </w:t>
      </w:r>
      <w:r>
        <w:rPr>
          <w:rFonts w:ascii="Arial" w:hAnsi="Arial" w:cs="Arial"/>
          <w:sz w:val="20"/>
          <w:szCs w:val="20"/>
        </w:rPr>
        <w:t xml:space="preserve">y </w:t>
      </w:r>
      <w:r w:rsidR="008D108D">
        <w:rPr>
          <w:rFonts w:ascii="Arial" w:hAnsi="Arial" w:cs="Arial"/>
          <w:sz w:val="20"/>
          <w:szCs w:val="20"/>
        </w:rPr>
        <w:t>financieros</w:t>
      </w:r>
      <w:r>
        <w:rPr>
          <w:rFonts w:ascii="Arial" w:hAnsi="Arial" w:cs="Arial"/>
          <w:sz w:val="20"/>
          <w:szCs w:val="20"/>
        </w:rPr>
        <w:t xml:space="preserve"> para </w:t>
      </w:r>
      <w:r w:rsidR="008D108D">
        <w:rPr>
          <w:rFonts w:ascii="Arial" w:hAnsi="Arial" w:cs="Arial"/>
          <w:sz w:val="20"/>
          <w:szCs w:val="20"/>
        </w:rPr>
        <w:t>llevar a cabo la operación</w:t>
      </w:r>
      <w:r w:rsidR="00FF5CA0">
        <w:rPr>
          <w:rFonts w:ascii="Arial" w:hAnsi="Arial" w:cs="Arial"/>
          <w:sz w:val="20"/>
          <w:szCs w:val="20"/>
        </w:rPr>
        <w:t xml:space="preserve"> y </w:t>
      </w:r>
      <w:r>
        <w:rPr>
          <w:rFonts w:ascii="Arial" w:hAnsi="Arial" w:cs="Arial"/>
          <w:sz w:val="20"/>
          <w:szCs w:val="20"/>
        </w:rPr>
        <w:t xml:space="preserve">las actividades </w:t>
      </w:r>
      <w:r w:rsidR="00FF5CA0">
        <w:rPr>
          <w:rFonts w:ascii="Arial" w:hAnsi="Arial" w:cs="Arial"/>
          <w:sz w:val="20"/>
          <w:szCs w:val="20"/>
        </w:rPr>
        <w:t xml:space="preserve">de las </w:t>
      </w:r>
      <w:r w:rsidR="005C68FC">
        <w:rPr>
          <w:rFonts w:ascii="Arial" w:hAnsi="Arial" w:cs="Arial"/>
          <w:sz w:val="20"/>
          <w:szCs w:val="20"/>
        </w:rPr>
        <w:t xml:space="preserve">diferentes </w:t>
      </w:r>
      <w:r w:rsidR="00FF5CA0">
        <w:rPr>
          <w:rFonts w:ascii="Arial" w:hAnsi="Arial" w:cs="Arial"/>
          <w:sz w:val="20"/>
          <w:szCs w:val="20"/>
        </w:rPr>
        <w:t>unidades administrativas d</w:t>
      </w:r>
      <w:r w:rsidRPr="00AD0D16">
        <w:rPr>
          <w:rFonts w:ascii="Arial" w:hAnsi="Arial" w:cs="Arial"/>
          <w:sz w:val="20"/>
          <w:szCs w:val="20"/>
        </w:rPr>
        <w:t>el FIGAROSY, tales como</w:t>
      </w:r>
      <w:r>
        <w:rPr>
          <w:rFonts w:ascii="Arial" w:hAnsi="Arial" w:cs="Arial"/>
          <w:sz w:val="20"/>
          <w:szCs w:val="20"/>
        </w:rPr>
        <w:t xml:space="preserve"> </w:t>
      </w:r>
      <w:r w:rsidR="00FF5CA0">
        <w:rPr>
          <w:rFonts w:ascii="Arial" w:hAnsi="Arial" w:cs="Arial"/>
          <w:sz w:val="20"/>
          <w:szCs w:val="20"/>
        </w:rPr>
        <w:t>la compra de materiales, útiles y</w:t>
      </w:r>
      <w:r w:rsidR="005C68FC">
        <w:rPr>
          <w:rFonts w:ascii="Arial" w:hAnsi="Arial" w:cs="Arial"/>
          <w:sz w:val="20"/>
          <w:szCs w:val="20"/>
        </w:rPr>
        <w:t xml:space="preserve"> equipos menores de oficina y de</w:t>
      </w:r>
      <w:r w:rsidR="00FF5CA0">
        <w:rPr>
          <w:rFonts w:ascii="Arial" w:hAnsi="Arial" w:cs="Arial"/>
          <w:sz w:val="20"/>
          <w:szCs w:val="20"/>
        </w:rPr>
        <w:t xml:space="preserve"> tecnología</w:t>
      </w:r>
      <w:r w:rsidR="005C68FC">
        <w:rPr>
          <w:rFonts w:ascii="Arial" w:hAnsi="Arial" w:cs="Arial"/>
          <w:sz w:val="20"/>
          <w:szCs w:val="20"/>
        </w:rPr>
        <w:t>s</w:t>
      </w:r>
      <w:r w:rsidR="00FF5CA0">
        <w:rPr>
          <w:rFonts w:ascii="Arial" w:hAnsi="Arial" w:cs="Arial"/>
          <w:sz w:val="20"/>
          <w:szCs w:val="20"/>
        </w:rPr>
        <w:t xml:space="preserve"> de la información, combustible para poder cumplir en tiempo y forma con las múltiples diligencias y gestiones relacionadas con la Entidad, el pago </w:t>
      </w:r>
      <w:r>
        <w:rPr>
          <w:rFonts w:ascii="Arial" w:hAnsi="Arial" w:cs="Arial"/>
          <w:sz w:val="20"/>
          <w:szCs w:val="20"/>
        </w:rPr>
        <w:t>de intereses y</w:t>
      </w:r>
      <w:r w:rsidRPr="00AD0D16">
        <w:rPr>
          <w:rFonts w:ascii="Arial" w:hAnsi="Arial" w:cs="Arial"/>
          <w:sz w:val="20"/>
          <w:szCs w:val="20"/>
        </w:rPr>
        <w:t xml:space="preserve"> servicio</w:t>
      </w:r>
      <w:r w:rsidR="00FF5CA0">
        <w:rPr>
          <w:rFonts w:ascii="Arial" w:hAnsi="Arial" w:cs="Arial"/>
          <w:sz w:val="20"/>
          <w:szCs w:val="20"/>
        </w:rPr>
        <w:t>s</w:t>
      </w:r>
      <w:r w:rsidRPr="00AD0D16">
        <w:rPr>
          <w:rFonts w:ascii="Arial" w:hAnsi="Arial" w:cs="Arial"/>
          <w:sz w:val="20"/>
          <w:szCs w:val="20"/>
        </w:rPr>
        <w:t xml:space="preserve"> </w:t>
      </w:r>
      <w:r>
        <w:rPr>
          <w:rFonts w:ascii="Arial" w:hAnsi="Arial" w:cs="Arial"/>
          <w:sz w:val="20"/>
          <w:szCs w:val="20"/>
        </w:rPr>
        <w:t>bancario</w:t>
      </w:r>
      <w:r w:rsidR="00FF5CA0">
        <w:rPr>
          <w:rFonts w:ascii="Arial" w:hAnsi="Arial" w:cs="Arial"/>
          <w:sz w:val="20"/>
          <w:szCs w:val="20"/>
        </w:rPr>
        <w:t>s</w:t>
      </w:r>
      <w:r w:rsidRPr="00AD0D16">
        <w:rPr>
          <w:rFonts w:ascii="Arial" w:hAnsi="Arial" w:cs="Arial"/>
          <w:sz w:val="20"/>
          <w:szCs w:val="20"/>
        </w:rPr>
        <w:t>,</w:t>
      </w:r>
      <w:r w:rsidR="005C68FC">
        <w:rPr>
          <w:rFonts w:ascii="Arial" w:hAnsi="Arial" w:cs="Arial"/>
          <w:sz w:val="20"/>
          <w:szCs w:val="20"/>
        </w:rPr>
        <w:t xml:space="preserve"> </w:t>
      </w:r>
      <w:r w:rsidR="00FF5CA0">
        <w:rPr>
          <w:rFonts w:ascii="Arial" w:hAnsi="Arial" w:cs="Arial"/>
          <w:sz w:val="20"/>
          <w:szCs w:val="20"/>
        </w:rPr>
        <w:t>auditoría externa</w:t>
      </w:r>
      <w:r w:rsidR="005C68FC">
        <w:rPr>
          <w:rFonts w:ascii="Arial" w:hAnsi="Arial" w:cs="Arial"/>
          <w:sz w:val="20"/>
          <w:szCs w:val="20"/>
        </w:rPr>
        <w:t>, traslado de instrumentos y archivo y contratación de otros servicios. Adicional a lo anterior, proporcionar</w:t>
      </w:r>
      <w:r>
        <w:rPr>
          <w:rFonts w:ascii="Arial" w:hAnsi="Arial" w:cs="Arial"/>
          <w:sz w:val="20"/>
          <w:szCs w:val="20"/>
        </w:rPr>
        <w:t xml:space="preserve"> mobiliario y equipo de oficina, cómputo y </w:t>
      </w:r>
      <w:r w:rsidR="005C68FC">
        <w:rPr>
          <w:rFonts w:ascii="Arial" w:hAnsi="Arial" w:cs="Arial"/>
          <w:sz w:val="20"/>
          <w:szCs w:val="20"/>
        </w:rPr>
        <w:t xml:space="preserve">bienes artísticos y culturales a las unidades administrativas </w:t>
      </w:r>
      <w:r>
        <w:rPr>
          <w:rFonts w:ascii="Arial" w:hAnsi="Arial" w:cs="Arial"/>
          <w:sz w:val="20"/>
          <w:szCs w:val="20"/>
        </w:rPr>
        <w:t xml:space="preserve">del FIGAROSY, </w:t>
      </w:r>
      <w:r w:rsidRPr="00AD0D16">
        <w:rPr>
          <w:rFonts w:ascii="Arial" w:hAnsi="Arial" w:cs="Arial"/>
          <w:sz w:val="20"/>
          <w:szCs w:val="20"/>
        </w:rPr>
        <w:t>con el propósito de otorgar las condiciones</w:t>
      </w:r>
      <w:r w:rsidR="005C68FC">
        <w:rPr>
          <w:rFonts w:ascii="Arial" w:hAnsi="Arial" w:cs="Arial"/>
          <w:sz w:val="20"/>
          <w:szCs w:val="20"/>
        </w:rPr>
        <w:t xml:space="preserve"> necesarias para la operación</w:t>
      </w:r>
      <w:r w:rsidRPr="00AD0D16">
        <w:rPr>
          <w:rFonts w:ascii="Arial" w:hAnsi="Arial" w:cs="Arial"/>
          <w:sz w:val="20"/>
          <w:szCs w:val="20"/>
        </w:rPr>
        <w:t xml:space="preserve"> de</w:t>
      </w:r>
      <w:r w:rsidR="005C68FC">
        <w:rPr>
          <w:rFonts w:ascii="Arial" w:hAnsi="Arial" w:cs="Arial"/>
          <w:sz w:val="20"/>
          <w:szCs w:val="20"/>
        </w:rPr>
        <w:t xml:space="preserve"> </w:t>
      </w:r>
      <w:r w:rsidRPr="00AD0D16">
        <w:rPr>
          <w:rFonts w:ascii="Arial" w:hAnsi="Arial" w:cs="Arial"/>
          <w:sz w:val="20"/>
          <w:szCs w:val="20"/>
        </w:rPr>
        <w:t>l</w:t>
      </w:r>
      <w:r w:rsidR="005C68FC">
        <w:rPr>
          <w:rFonts w:ascii="Arial" w:hAnsi="Arial" w:cs="Arial"/>
          <w:sz w:val="20"/>
          <w:szCs w:val="20"/>
        </w:rPr>
        <w:t>a</w:t>
      </w:r>
      <w:r w:rsidRPr="00AD0D16">
        <w:rPr>
          <w:rFonts w:ascii="Arial" w:hAnsi="Arial" w:cs="Arial"/>
          <w:sz w:val="20"/>
          <w:szCs w:val="20"/>
        </w:rPr>
        <w:t xml:space="preserve"> </w:t>
      </w:r>
      <w:r w:rsidR="005C68FC">
        <w:rPr>
          <w:rFonts w:ascii="Arial" w:hAnsi="Arial" w:cs="Arial"/>
          <w:sz w:val="20"/>
          <w:szCs w:val="20"/>
        </w:rPr>
        <w:t>Entidad</w:t>
      </w:r>
      <w:r w:rsidR="00D509AB" w:rsidRPr="00561D77">
        <w:rPr>
          <w:rFonts w:ascii="Arial" w:hAnsi="Arial" w:cs="Arial"/>
          <w:sz w:val="20"/>
          <w:szCs w:val="20"/>
        </w:rPr>
        <w:t xml:space="preserve">. </w:t>
      </w:r>
    </w:p>
    <w:p w:rsidR="00D509AB" w:rsidRDefault="00D509AB" w:rsidP="00D509AB">
      <w:pPr>
        <w:spacing w:line="360" w:lineRule="auto"/>
        <w:jc w:val="both"/>
        <w:rPr>
          <w:rFonts w:ascii="Arial" w:hAnsi="Arial" w:cs="Arial"/>
          <w:sz w:val="20"/>
          <w:szCs w:val="20"/>
        </w:rPr>
      </w:pPr>
    </w:p>
    <w:p w:rsidR="00D509AB" w:rsidRPr="00561D77" w:rsidRDefault="00D509AB" w:rsidP="00D509AB">
      <w:pPr>
        <w:spacing w:line="360" w:lineRule="auto"/>
        <w:jc w:val="both"/>
        <w:rPr>
          <w:rFonts w:ascii="Arial" w:hAnsi="Arial" w:cs="Arial"/>
          <w:sz w:val="20"/>
          <w:szCs w:val="20"/>
        </w:rPr>
      </w:pPr>
      <w:r w:rsidRPr="00561D77">
        <w:rPr>
          <w:rFonts w:ascii="Arial" w:hAnsi="Arial" w:cs="Arial"/>
          <w:sz w:val="20"/>
          <w:szCs w:val="20"/>
        </w:rPr>
        <w:t>Problema específico a atender:</w:t>
      </w:r>
    </w:p>
    <w:p w:rsidR="00D509AB" w:rsidRPr="00561D77" w:rsidRDefault="00644BFD" w:rsidP="00D509AB">
      <w:pPr>
        <w:spacing w:line="360" w:lineRule="auto"/>
        <w:jc w:val="both"/>
        <w:rPr>
          <w:rFonts w:ascii="Arial" w:hAnsi="Arial" w:cs="Arial"/>
          <w:sz w:val="20"/>
          <w:szCs w:val="20"/>
        </w:rPr>
      </w:pPr>
      <w:r w:rsidRPr="00561D77">
        <w:rPr>
          <w:rFonts w:ascii="Arial" w:hAnsi="Arial" w:cs="Arial"/>
          <w:sz w:val="20"/>
          <w:szCs w:val="20"/>
        </w:rPr>
        <w:t>Suministrar</w:t>
      </w:r>
      <w:r w:rsidR="005C68FC">
        <w:rPr>
          <w:rFonts w:ascii="Arial" w:hAnsi="Arial" w:cs="Arial"/>
          <w:sz w:val="20"/>
          <w:szCs w:val="20"/>
        </w:rPr>
        <w:t xml:space="preserve"> a las unidades administrativas del FIGAROSY, los </w:t>
      </w:r>
      <w:r w:rsidRPr="00561D77">
        <w:rPr>
          <w:rFonts w:ascii="Arial" w:hAnsi="Arial" w:cs="Arial"/>
          <w:sz w:val="20"/>
          <w:szCs w:val="20"/>
        </w:rPr>
        <w:t>bienes muebles</w:t>
      </w:r>
      <w:r w:rsidR="005C68FC">
        <w:rPr>
          <w:rFonts w:ascii="Arial" w:hAnsi="Arial" w:cs="Arial"/>
          <w:sz w:val="20"/>
          <w:szCs w:val="20"/>
        </w:rPr>
        <w:t xml:space="preserve"> como mobiliario y equipo y los</w:t>
      </w:r>
      <w:r w:rsidRPr="00561D77">
        <w:rPr>
          <w:rFonts w:ascii="Arial" w:hAnsi="Arial" w:cs="Arial"/>
          <w:sz w:val="20"/>
          <w:szCs w:val="20"/>
        </w:rPr>
        <w:t xml:space="preserve"> recursos financieros necesarios</w:t>
      </w:r>
      <w:r w:rsidR="005C68FC">
        <w:rPr>
          <w:rFonts w:ascii="Arial" w:hAnsi="Arial" w:cs="Arial"/>
          <w:sz w:val="20"/>
          <w:szCs w:val="20"/>
        </w:rPr>
        <w:t xml:space="preserve"> para que puedan llevar a cabo sus actividades de la mejor manera, procurando el logro de sus objetivos</w:t>
      </w:r>
      <w:r w:rsidR="00F906D5">
        <w:rPr>
          <w:rFonts w:ascii="Arial" w:hAnsi="Arial" w:cs="Arial"/>
          <w:sz w:val="20"/>
          <w:szCs w:val="20"/>
        </w:rPr>
        <w:t>, con el objeto de abonar el cumplimiento de los fines de la Entidad.</w:t>
      </w:r>
    </w:p>
    <w:p w:rsidR="00D509AB" w:rsidRDefault="00D509AB" w:rsidP="00D509AB">
      <w:pPr>
        <w:spacing w:line="360" w:lineRule="auto"/>
        <w:jc w:val="both"/>
        <w:rPr>
          <w:rFonts w:ascii="Arial" w:hAnsi="Arial" w:cs="Arial"/>
          <w:sz w:val="20"/>
          <w:szCs w:val="20"/>
        </w:rPr>
      </w:pPr>
    </w:p>
    <w:p w:rsidR="00D509AB" w:rsidRPr="00561D77" w:rsidRDefault="00D509AB" w:rsidP="00D509AB">
      <w:pPr>
        <w:spacing w:line="360" w:lineRule="auto"/>
        <w:jc w:val="both"/>
        <w:rPr>
          <w:rFonts w:ascii="Arial" w:hAnsi="Arial" w:cs="Arial"/>
          <w:sz w:val="20"/>
          <w:szCs w:val="20"/>
        </w:rPr>
      </w:pPr>
      <w:r w:rsidRPr="00561D77">
        <w:rPr>
          <w:rFonts w:ascii="Arial" w:hAnsi="Arial" w:cs="Arial"/>
          <w:sz w:val="20"/>
          <w:szCs w:val="20"/>
        </w:rPr>
        <w:t>Objetivo:</w:t>
      </w:r>
    </w:p>
    <w:p w:rsidR="00D509AB" w:rsidRPr="00561D77" w:rsidRDefault="00F906D5" w:rsidP="00D509AB">
      <w:pPr>
        <w:spacing w:line="360" w:lineRule="auto"/>
        <w:jc w:val="both"/>
        <w:rPr>
          <w:rFonts w:ascii="Arial" w:hAnsi="Arial" w:cs="Arial"/>
          <w:sz w:val="20"/>
          <w:szCs w:val="20"/>
        </w:rPr>
      </w:pPr>
      <w:r>
        <w:rPr>
          <w:rFonts w:ascii="Arial" w:hAnsi="Arial" w:cs="Arial"/>
          <w:sz w:val="20"/>
          <w:szCs w:val="20"/>
        </w:rPr>
        <w:t>Las u</w:t>
      </w:r>
      <w:r w:rsidR="00644BFD" w:rsidRPr="00AD0D16">
        <w:rPr>
          <w:rFonts w:ascii="Arial" w:hAnsi="Arial" w:cs="Arial"/>
          <w:sz w:val="20"/>
          <w:szCs w:val="20"/>
        </w:rPr>
        <w:t>nidades administrativas del Fideicomiso Garante de la Orquesta Sinfónica de Yucatán cuentan con una administración eficiente de recursos para su operación mediante pago</w:t>
      </w:r>
      <w:r w:rsidR="00644BFD">
        <w:rPr>
          <w:rFonts w:ascii="Arial" w:hAnsi="Arial" w:cs="Arial"/>
          <w:sz w:val="20"/>
          <w:szCs w:val="20"/>
        </w:rPr>
        <w:t>s</w:t>
      </w:r>
      <w:r w:rsidR="00644BFD" w:rsidRPr="00AD0D16">
        <w:rPr>
          <w:rFonts w:ascii="Arial" w:hAnsi="Arial" w:cs="Arial"/>
          <w:sz w:val="20"/>
          <w:szCs w:val="20"/>
        </w:rPr>
        <w:t xml:space="preserve"> </w:t>
      </w:r>
      <w:r w:rsidR="00644BFD">
        <w:rPr>
          <w:rFonts w:ascii="Arial" w:hAnsi="Arial" w:cs="Arial"/>
          <w:sz w:val="20"/>
          <w:szCs w:val="20"/>
        </w:rPr>
        <w:t>a proveedores para la adquisición de material y contratación de servicios financieros realizados</w:t>
      </w:r>
      <w:r w:rsidR="00F96A0C">
        <w:rPr>
          <w:rFonts w:ascii="Arial" w:hAnsi="Arial" w:cs="Arial"/>
          <w:sz w:val="20"/>
          <w:szCs w:val="20"/>
        </w:rPr>
        <w:t>.</w:t>
      </w:r>
    </w:p>
    <w:p w:rsidR="00D509AB" w:rsidRDefault="00D509AB" w:rsidP="00D509AB">
      <w:pPr>
        <w:spacing w:line="360" w:lineRule="auto"/>
        <w:jc w:val="both"/>
        <w:rPr>
          <w:rFonts w:ascii="Arial" w:hAnsi="Arial" w:cs="Arial"/>
          <w:sz w:val="20"/>
          <w:szCs w:val="20"/>
        </w:rPr>
      </w:pPr>
    </w:p>
    <w:p w:rsidR="00D509AB" w:rsidRDefault="00D509AB" w:rsidP="00D509AB">
      <w:pPr>
        <w:spacing w:line="360" w:lineRule="auto"/>
        <w:jc w:val="both"/>
        <w:rPr>
          <w:rFonts w:ascii="Arial" w:hAnsi="Arial" w:cs="Arial"/>
          <w:sz w:val="20"/>
          <w:szCs w:val="20"/>
        </w:rPr>
      </w:pPr>
      <w:r w:rsidRPr="00561D77">
        <w:rPr>
          <w:rFonts w:ascii="Arial" w:hAnsi="Arial" w:cs="Arial"/>
          <w:sz w:val="20"/>
          <w:szCs w:val="20"/>
        </w:rPr>
        <w:t>A continuación se describe el indicador y la comparación de la meta que se des</w:t>
      </w:r>
      <w:r w:rsidR="004E2770">
        <w:rPr>
          <w:rFonts w:ascii="Arial" w:hAnsi="Arial" w:cs="Arial"/>
          <w:sz w:val="20"/>
          <w:szCs w:val="20"/>
        </w:rPr>
        <w:t xml:space="preserve">ea alcanzar </w:t>
      </w:r>
      <w:r w:rsidR="00387ED2">
        <w:rPr>
          <w:rFonts w:ascii="Arial" w:hAnsi="Arial" w:cs="Arial"/>
          <w:sz w:val="20"/>
          <w:szCs w:val="20"/>
        </w:rPr>
        <w:t>en el ejercicio 2020</w:t>
      </w:r>
      <w:r w:rsidRPr="00561D77">
        <w:rPr>
          <w:rFonts w:ascii="Arial" w:hAnsi="Arial" w:cs="Arial"/>
          <w:sz w:val="20"/>
          <w:szCs w:val="20"/>
        </w:rPr>
        <w:t xml:space="preserve"> y el resultado obtenido por</w:t>
      </w:r>
      <w:r w:rsidR="001D31B2">
        <w:rPr>
          <w:rFonts w:ascii="Arial" w:hAnsi="Arial" w:cs="Arial"/>
          <w:sz w:val="20"/>
          <w:szCs w:val="20"/>
        </w:rPr>
        <w:t xml:space="preserve"> el período del </w:t>
      </w:r>
      <w:r w:rsidR="00D73F84">
        <w:rPr>
          <w:rFonts w:ascii="Arial" w:hAnsi="Arial" w:cs="Arial"/>
          <w:sz w:val="20"/>
          <w:szCs w:val="20"/>
        </w:rPr>
        <w:t>1</w:t>
      </w:r>
      <w:r w:rsidR="00890EC0">
        <w:rPr>
          <w:rFonts w:ascii="Arial" w:hAnsi="Arial" w:cs="Arial"/>
          <w:sz w:val="20"/>
          <w:szCs w:val="20"/>
        </w:rPr>
        <w:t xml:space="preserve"> </w:t>
      </w:r>
      <w:r w:rsidR="00D72309">
        <w:rPr>
          <w:rFonts w:ascii="Arial" w:hAnsi="Arial" w:cs="Arial"/>
          <w:sz w:val="20"/>
          <w:szCs w:val="20"/>
        </w:rPr>
        <w:t>de Enero al 3</w:t>
      </w:r>
      <w:r w:rsidR="00DD468B">
        <w:rPr>
          <w:rFonts w:ascii="Arial" w:hAnsi="Arial" w:cs="Arial"/>
          <w:sz w:val="20"/>
          <w:szCs w:val="20"/>
        </w:rPr>
        <w:t>1</w:t>
      </w:r>
      <w:r w:rsidR="00387ED2">
        <w:rPr>
          <w:rFonts w:ascii="Arial" w:hAnsi="Arial" w:cs="Arial"/>
          <w:sz w:val="20"/>
          <w:szCs w:val="20"/>
        </w:rPr>
        <w:t xml:space="preserve"> </w:t>
      </w:r>
      <w:r w:rsidR="00890EC0">
        <w:rPr>
          <w:rFonts w:ascii="Arial" w:hAnsi="Arial" w:cs="Arial"/>
          <w:sz w:val="20"/>
          <w:szCs w:val="20"/>
        </w:rPr>
        <w:t xml:space="preserve">de </w:t>
      </w:r>
      <w:r w:rsidR="00DD468B">
        <w:rPr>
          <w:rFonts w:ascii="Arial" w:hAnsi="Arial" w:cs="Arial"/>
          <w:sz w:val="20"/>
          <w:szCs w:val="20"/>
        </w:rPr>
        <w:t>Dic</w:t>
      </w:r>
      <w:r w:rsidR="0073563A">
        <w:rPr>
          <w:rFonts w:ascii="Arial" w:hAnsi="Arial" w:cs="Arial"/>
          <w:sz w:val="20"/>
          <w:szCs w:val="20"/>
        </w:rPr>
        <w:t>iem</w:t>
      </w:r>
      <w:r w:rsidR="00A725DA">
        <w:rPr>
          <w:rFonts w:ascii="Arial" w:hAnsi="Arial" w:cs="Arial"/>
          <w:sz w:val="20"/>
          <w:szCs w:val="20"/>
        </w:rPr>
        <w:t>bre</w:t>
      </w:r>
      <w:r w:rsidR="00D73F84">
        <w:rPr>
          <w:rFonts w:ascii="Arial" w:hAnsi="Arial" w:cs="Arial"/>
          <w:sz w:val="20"/>
          <w:szCs w:val="20"/>
        </w:rPr>
        <w:t xml:space="preserve"> </w:t>
      </w:r>
      <w:r w:rsidR="00387ED2">
        <w:rPr>
          <w:rFonts w:ascii="Arial" w:hAnsi="Arial" w:cs="Arial"/>
          <w:sz w:val="20"/>
          <w:szCs w:val="20"/>
        </w:rPr>
        <w:t>de 2020</w:t>
      </w:r>
      <w:r w:rsidRPr="00561D77">
        <w:rPr>
          <w:rFonts w:ascii="Arial" w:hAnsi="Arial" w:cs="Arial"/>
          <w:sz w:val="20"/>
          <w:szCs w:val="20"/>
        </w:rPr>
        <w:t>:</w:t>
      </w:r>
    </w:p>
    <w:p w:rsidR="00D509AB" w:rsidRDefault="00D509AB" w:rsidP="00D509AB">
      <w:pPr>
        <w:spacing w:line="360" w:lineRule="auto"/>
        <w:jc w:val="both"/>
        <w:rPr>
          <w:rFonts w:ascii="Arial" w:hAnsi="Arial" w:cs="Arial"/>
          <w:sz w:val="20"/>
          <w:szCs w:val="20"/>
        </w:rPr>
      </w:pPr>
    </w:p>
    <w:p w:rsidR="00F50C8A" w:rsidRPr="005D0C7C" w:rsidRDefault="00F50C8A" w:rsidP="00D509AB">
      <w:pPr>
        <w:spacing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4361"/>
        <w:gridCol w:w="1401"/>
        <w:gridCol w:w="1292"/>
      </w:tblGrid>
      <w:tr w:rsidR="00D509AB" w:rsidRPr="005D0C7C" w:rsidTr="00D74363">
        <w:trPr>
          <w:jc w:val="center"/>
        </w:trPr>
        <w:tc>
          <w:tcPr>
            <w:tcW w:w="4361" w:type="dxa"/>
          </w:tcPr>
          <w:p w:rsidR="00D509AB" w:rsidRPr="00D509AB" w:rsidRDefault="00D509AB" w:rsidP="00D509AB">
            <w:pPr>
              <w:jc w:val="center"/>
              <w:rPr>
                <w:rFonts w:ascii="Arial" w:hAnsi="Arial" w:cs="Arial"/>
                <w:sz w:val="20"/>
                <w:szCs w:val="20"/>
              </w:rPr>
            </w:pPr>
            <w:r w:rsidRPr="00D509AB">
              <w:rPr>
                <w:rFonts w:ascii="Arial" w:hAnsi="Arial" w:cs="Arial"/>
                <w:sz w:val="20"/>
                <w:szCs w:val="20"/>
              </w:rPr>
              <w:t>Nombre de Indicadores</w:t>
            </w:r>
          </w:p>
        </w:tc>
        <w:tc>
          <w:tcPr>
            <w:tcW w:w="1401" w:type="dxa"/>
          </w:tcPr>
          <w:p w:rsidR="00D509AB" w:rsidRPr="00D509AB" w:rsidRDefault="00D509AB" w:rsidP="00D509AB">
            <w:pPr>
              <w:jc w:val="center"/>
              <w:rPr>
                <w:rFonts w:ascii="Arial" w:hAnsi="Arial" w:cs="Arial"/>
                <w:sz w:val="20"/>
                <w:szCs w:val="20"/>
              </w:rPr>
            </w:pPr>
            <w:r w:rsidRPr="00D509AB">
              <w:rPr>
                <w:rFonts w:ascii="Arial" w:hAnsi="Arial" w:cs="Arial"/>
                <w:sz w:val="20"/>
                <w:szCs w:val="20"/>
              </w:rPr>
              <w:t>Meta</w:t>
            </w:r>
          </w:p>
        </w:tc>
        <w:tc>
          <w:tcPr>
            <w:tcW w:w="1292" w:type="dxa"/>
          </w:tcPr>
          <w:p w:rsidR="00D509AB" w:rsidRPr="00D509AB" w:rsidRDefault="00D509AB" w:rsidP="00D509AB">
            <w:pPr>
              <w:jc w:val="center"/>
              <w:rPr>
                <w:rFonts w:ascii="Arial" w:hAnsi="Arial" w:cs="Arial"/>
                <w:sz w:val="20"/>
                <w:szCs w:val="20"/>
              </w:rPr>
            </w:pPr>
            <w:r w:rsidRPr="00D509AB">
              <w:rPr>
                <w:rFonts w:ascii="Arial" w:hAnsi="Arial" w:cs="Arial"/>
                <w:sz w:val="20"/>
                <w:szCs w:val="20"/>
              </w:rPr>
              <w:t>Resultado</w:t>
            </w:r>
          </w:p>
        </w:tc>
      </w:tr>
      <w:tr w:rsidR="00D509AB" w:rsidRPr="005D0C7C" w:rsidTr="00D74363">
        <w:trPr>
          <w:jc w:val="center"/>
        </w:trPr>
        <w:tc>
          <w:tcPr>
            <w:tcW w:w="4361" w:type="dxa"/>
          </w:tcPr>
          <w:p w:rsidR="00D509AB" w:rsidRPr="00D509AB" w:rsidRDefault="00D509AB" w:rsidP="00D509AB">
            <w:pPr>
              <w:rPr>
                <w:rFonts w:ascii="Arial" w:hAnsi="Arial" w:cs="Arial"/>
                <w:sz w:val="20"/>
                <w:szCs w:val="20"/>
              </w:rPr>
            </w:pPr>
            <w:r w:rsidRPr="00D509AB">
              <w:rPr>
                <w:rFonts w:ascii="Arial" w:hAnsi="Arial" w:cs="Arial"/>
                <w:sz w:val="20"/>
                <w:szCs w:val="20"/>
              </w:rPr>
              <w:t>Porcentaje de presupuesto ejercido</w:t>
            </w:r>
          </w:p>
        </w:tc>
        <w:tc>
          <w:tcPr>
            <w:tcW w:w="1401" w:type="dxa"/>
          </w:tcPr>
          <w:p w:rsidR="00D509AB" w:rsidRPr="00D509AB" w:rsidRDefault="00D509AB" w:rsidP="00D509AB">
            <w:pPr>
              <w:jc w:val="center"/>
              <w:rPr>
                <w:rFonts w:ascii="Arial" w:hAnsi="Arial" w:cs="Arial"/>
                <w:sz w:val="20"/>
                <w:szCs w:val="20"/>
              </w:rPr>
            </w:pPr>
            <w:r w:rsidRPr="00D509AB">
              <w:rPr>
                <w:rFonts w:ascii="Arial" w:hAnsi="Arial" w:cs="Arial"/>
                <w:sz w:val="20"/>
                <w:szCs w:val="20"/>
              </w:rPr>
              <w:t>100 %</w:t>
            </w:r>
          </w:p>
        </w:tc>
        <w:tc>
          <w:tcPr>
            <w:tcW w:w="1292" w:type="dxa"/>
          </w:tcPr>
          <w:p w:rsidR="00D509AB" w:rsidRPr="00D509AB" w:rsidRDefault="009F0399" w:rsidP="00843D2F">
            <w:pPr>
              <w:jc w:val="center"/>
              <w:rPr>
                <w:rFonts w:ascii="Arial" w:hAnsi="Arial" w:cs="Arial"/>
                <w:sz w:val="20"/>
                <w:szCs w:val="20"/>
              </w:rPr>
            </w:pPr>
            <w:r>
              <w:rPr>
                <w:rFonts w:ascii="Arial" w:hAnsi="Arial" w:cs="Arial"/>
                <w:sz w:val="20"/>
                <w:szCs w:val="20"/>
              </w:rPr>
              <w:t>82</w:t>
            </w:r>
            <w:r w:rsidR="00D509AB" w:rsidRPr="00D509AB">
              <w:rPr>
                <w:rFonts w:ascii="Arial" w:hAnsi="Arial" w:cs="Arial"/>
                <w:sz w:val="20"/>
                <w:szCs w:val="20"/>
              </w:rPr>
              <w:t xml:space="preserve"> %</w:t>
            </w:r>
          </w:p>
        </w:tc>
      </w:tr>
    </w:tbl>
    <w:p w:rsidR="00D509AB" w:rsidRPr="005D0C7C" w:rsidRDefault="00D509AB" w:rsidP="00D509AB">
      <w:pPr>
        <w:jc w:val="both"/>
        <w:rPr>
          <w:rFonts w:ascii="Arial" w:hAnsi="Arial" w:cs="Arial"/>
        </w:rPr>
      </w:pPr>
    </w:p>
    <w:p w:rsidR="00FC0E19" w:rsidRDefault="00FC0E19" w:rsidP="00D509AB">
      <w:pPr>
        <w:spacing w:line="360" w:lineRule="auto"/>
        <w:jc w:val="both"/>
        <w:rPr>
          <w:rFonts w:ascii="Arial" w:hAnsi="Arial" w:cs="Arial"/>
          <w:sz w:val="20"/>
          <w:szCs w:val="20"/>
        </w:rPr>
      </w:pPr>
    </w:p>
    <w:p w:rsidR="00D509AB" w:rsidRPr="00D509AB" w:rsidRDefault="00D509AB" w:rsidP="00D509AB">
      <w:pPr>
        <w:spacing w:line="360" w:lineRule="auto"/>
        <w:jc w:val="both"/>
        <w:rPr>
          <w:rFonts w:ascii="Arial" w:hAnsi="Arial" w:cs="Arial"/>
          <w:sz w:val="20"/>
          <w:szCs w:val="20"/>
        </w:rPr>
      </w:pPr>
      <w:r w:rsidRPr="00D509AB">
        <w:rPr>
          <w:rFonts w:ascii="Arial" w:hAnsi="Arial" w:cs="Arial"/>
          <w:sz w:val="20"/>
          <w:szCs w:val="20"/>
        </w:rPr>
        <w:t xml:space="preserve">Durante el período del </w:t>
      </w:r>
      <w:r w:rsidR="00D73F84">
        <w:rPr>
          <w:rFonts w:ascii="Arial" w:hAnsi="Arial" w:cs="Arial"/>
          <w:sz w:val="20"/>
          <w:szCs w:val="20"/>
        </w:rPr>
        <w:t>1</w:t>
      </w:r>
      <w:r w:rsidR="0073563A">
        <w:rPr>
          <w:rFonts w:ascii="Arial" w:hAnsi="Arial" w:cs="Arial"/>
          <w:sz w:val="20"/>
          <w:szCs w:val="20"/>
        </w:rPr>
        <w:t xml:space="preserve"> de Enero al 3</w:t>
      </w:r>
      <w:r w:rsidR="00DD468B">
        <w:rPr>
          <w:rFonts w:ascii="Arial" w:hAnsi="Arial" w:cs="Arial"/>
          <w:sz w:val="20"/>
          <w:szCs w:val="20"/>
        </w:rPr>
        <w:t>1</w:t>
      </w:r>
      <w:r w:rsidR="00D73F84">
        <w:rPr>
          <w:rFonts w:ascii="Arial" w:hAnsi="Arial" w:cs="Arial"/>
          <w:sz w:val="20"/>
          <w:szCs w:val="20"/>
        </w:rPr>
        <w:t xml:space="preserve"> </w:t>
      </w:r>
      <w:r w:rsidR="00890EC0">
        <w:rPr>
          <w:rFonts w:ascii="Arial" w:hAnsi="Arial" w:cs="Arial"/>
          <w:sz w:val="20"/>
          <w:szCs w:val="20"/>
        </w:rPr>
        <w:t xml:space="preserve">de </w:t>
      </w:r>
      <w:r w:rsidR="00DD468B">
        <w:rPr>
          <w:rFonts w:ascii="Arial" w:hAnsi="Arial" w:cs="Arial"/>
          <w:sz w:val="20"/>
          <w:szCs w:val="20"/>
        </w:rPr>
        <w:t>Dic</w:t>
      </w:r>
      <w:r w:rsidR="0073563A">
        <w:rPr>
          <w:rFonts w:ascii="Arial" w:hAnsi="Arial" w:cs="Arial"/>
          <w:sz w:val="20"/>
          <w:szCs w:val="20"/>
        </w:rPr>
        <w:t>iem</w:t>
      </w:r>
      <w:r w:rsidR="00A2132B">
        <w:rPr>
          <w:rFonts w:ascii="Arial" w:hAnsi="Arial" w:cs="Arial"/>
          <w:sz w:val="20"/>
          <w:szCs w:val="20"/>
        </w:rPr>
        <w:t>bre</w:t>
      </w:r>
      <w:r w:rsidR="00890EC0">
        <w:rPr>
          <w:rFonts w:ascii="Arial" w:hAnsi="Arial" w:cs="Arial"/>
          <w:sz w:val="20"/>
          <w:szCs w:val="20"/>
        </w:rPr>
        <w:t xml:space="preserve"> </w:t>
      </w:r>
      <w:r w:rsidR="00387ED2">
        <w:rPr>
          <w:rFonts w:ascii="Arial" w:hAnsi="Arial" w:cs="Arial"/>
          <w:sz w:val="20"/>
          <w:szCs w:val="20"/>
        </w:rPr>
        <w:t>de 2020</w:t>
      </w:r>
      <w:r w:rsidR="004E2770">
        <w:rPr>
          <w:rFonts w:ascii="Arial" w:hAnsi="Arial" w:cs="Arial"/>
          <w:sz w:val="20"/>
          <w:szCs w:val="20"/>
        </w:rPr>
        <w:t xml:space="preserve"> </w:t>
      </w:r>
      <w:r w:rsidR="00D105C3">
        <w:rPr>
          <w:rFonts w:ascii="Arial" w:hAnsi="Arial" w:cs="Arial"/>
          <w:sz w:val="20"/>
          <w:szCs w:val="20"/>
        </w:rPr>
        <w:t>se ejerció</w:t>
      </w:r>
      <w:r w:rsidR="00C00E96">
        <w:rPr>
          <w:rFonts w:ascii="Arial" w:hAnsi="Arial" w:cs="Arial"/>
          <w:sz w:val="20"/>
          <w:szCs w:val="20"/>
        </w:rPr>
        <w:t xml:space="preserve"> la cantidad de $ </w:t>
      </w:r>
      <w:r w:rsidR="00DD468B">
        <w:rPr>
          <w:rFonts w:ascii="Arial" w:hAnsi="Arial" w:cs="Arial"/>
          <w:sz w:val="20"/>
          <w:szCs w:val="20"/>
        </w:rPr>
        <w:t>2,</w:t>
      </w:r>
      <w:r w:rsidR="009F0399">
        <w:rPr>
          <w:rFonts w:ascii="Arial" w:hAnsi="Arial" w:cs="Arial"/>
          <w:sz w:val="20"/>
          <w:szCs w:val="20"/>
        </w:rPr>
        <w:t>077</w:t>
      </w:r>
      <w:r w:rsidR="00DD468B">
        <w:rPr>
          <w:rFonts w:ascii="Arial" w:hAnsi="Arial" w:cs="Arial"/>
          <w:sz w:val="20"/>
          <w:szCs w:val="20"/>
        </w:rPr>
        <w:t>,</w:t>
      </w:r>
      <w:r w:rsidR="009F0399">
        <w:rPr>
          <w:rFonts w:ascii="Arial" w:hAnsi="Arial" w:cs="Arial"/>
          <w:sz w:val="20"/>
          <w:szCs w:val="20"/>
        </w:rPr>
        <w:t>502</w:t>
      </w:r>
      <w:r w:rsidR="00C45A89">
        <w:rPr>
          <w:rFonts w:ascii="Arial" w:hAnsi="Arial" w:cs="Arial"/>
          <w:sz w:val="20"/>
          <w:szCs w:val="20"/>
        </w:rPr>
        <w:t>.00</w:t>
      </w:r>
      <w:r w:rsidR="00C00E96">
        <w:rPr>
          <w:rFonts w:ascii="Arial" w:hAnsi="Arial" w:cs="Arial"/>
          <w:sz w:val="20"/>
          <w:szCs w:val="20"/>
        </w:rPr>
        <w:t xml:space="preserve"> que equivale</w:t>
      </w:r>
      <w:r w:rsidR="00D105C3">
        <w:rPr>
          <w:rFonts w:ascii="Arial" w:hAnsi="Arial" w:cs="Arial"/>
          <w:sz w:val="20"/>
          <w:szCs w:val="20"/>
        </w:rPr>
        <w:t xml:space="preserve"> el </w:t>
      </w:r>
      <w:r w:rsidR="009F0399">
        <w:rPr>
          <w:rFonts w:ascii="Arial" w:hAnsi="Arial" w:cs="Arial"/>
          <w:sz w:val="20"/>
          <w:szCs w:val="20"/>
        </w:rPr>
        <w:t>82</w:t>
      </w:r>
      <w:r w:rsidR="00427BB5">
        <w:rPr>
          <w:rFonts w:ascii="Arial" w:hAnsi="Arial" w:cs="Arial"/>
          <w:sz w:val="20"/>
          <w:szCs w:val="20"/>
        </w:rPr>
        <w:t xml:space="preserve"> </w:t>
      </w:r>
      <w:r w:rsidRPr="00D509AB">
        <w:rPr>
          <w:rFonts w:ascii="Arial" w:hAnsi="Arial" w:cs="Arial"/>
          <w:sz w:val="20"/>
          <w:szCs w:val="20"/>
        </w:rPr>
        <w:t>% del total de presupuesto aprobado para el FIGAROSY de los capítulos 2000 (</w:t>
      </w:r>
      <w:r w:rsidR="0006103B">
        <w:rPr>
          <w:rFonts w:ascii="Arial" w:hAnsi="Arial" w:cs="Arial"/>
          <w:sz w:val="20"/>
          <w:szCs w:val="20"/>
        </w:rPr>
        <w:t>Materiales y Suministros</w:t>
      </w:r>
      <w:r w:rsidRPr="00D509AB">
        <w:rPr>
          <w:rFonts w:ascii="Arial" w:hAnsi="Arial" w:cs="Arial"/>
          <w:sz w:val="20"/>
          <w:szCs w:val="20"/>
        </w:rPr>
        <w:t>), 3000 (Servicios Gene</w:t>
      </w:r>
      <w:r w:rsidR="00C00E96">
        <w:rPr>
          <w:rFonts w:ascii="Arial" w:hAnsi="Arial" w:cs="Arial"/>
          <w:sz w:val="20"/>
          <w:szCs w:val="20"/>
        </w:rPr>
        <w:t xml:space="preserve">rales) y Adquisición de Activos, quedando pendiente de ejercer la cantidad de $ </w:t>
      </w:r>
      <w:r w:rsidR="009F0399">
        <w:rPr>
          <w:rFonts w:ascii="Arial" w:hAnsi="Arial" w:cs="Arial"/>
          <w:sz w:val="20"/>
          <w:szCs w:val="20"/>
        </w:rPr>
        <w:t>469,217</w:t>
      </w:r>
      <w:r w:rsidR="00C00E96">
        <w:rPr>
          <w:rFonts w:ascii="Arial" w:hAnsi="Arial" w:cs="Arial"/>
          <w:sz w:val="20"/>
          <w:szCs w:val="20"/>
        </w:rPr>
        <w:t>.00.</w:t>
      </w:r>
    </w:p>
    <w:p w:rsidR="00D509AB" w:rsidRDefault="00D509AB" w:rsidP="00AB602F">
      <w:pPr>
        <w:autoSpaceDE w:val="0"/>
        <w:autoSpaceDN w:val="0"/>
        <w:adjustRightInd w:val="0"/>
        <w:spacing w:line="360" w:lineRule="auto"/>
        <w:jc w:val="both"/>
        <w:rPr>
          <w:rFonts w:ascii="ZapfHumnst BT" w:hAnsi="ZapfHumnst BT"/>
          <w:sz w:val="20"/>
          <w:szCs w:val="20"/>
        </w:rPr>
      </w:pPr>
    </w:p>
    <w:p w:rsidR="00066F9C" w:rsidRPr="00853E3D" w:rsidRDefault="00066F9C" w:rsidP="00066F9C">
      <w:pPr>
        <w:rPr>
          <w:rFonts w:ascii="Calibri" w:hAnsi="Calibri" w:cs="Arial"/>
          <w:sz w:val="20"/>
          <w:szCs w:val="20"/>
          <w:lang w:val="es-ES"/>
        </w:rPr>
      </w:pPr>
      <w:r w:rsidRPr="00853E3D">
        <w:rPr>
          <w:rFonts w:ascii="Calibri" w:hAnsi="Calibri"/>
          <w:sz w:val="20"/>
          <w:szCs w:val="20"/>
        </w:rPr>
        <w:t xml:space="preserve">                                  Revisó                                                                                                            Visto Bueno</w:t>
      </w:r>
    </w:p>
    <w:p w:rsidR="00066F9C" w:rsidRPr="00853E3D" w:rsidRDefault="00066F9C" w:rsidP="00066F9C">
      <w:pPr>
        <w:rPr>
          <w:rFonts w:ascii="Calibri" w:hAnsi="Calibri" w:cs="Arial"/>
          <w:sz w:val="20"/>
          <w:szCs w:val="20"/>
        </w:rPr>
      </w:pPr>
    </w:p>
    <w:p w:rsidR="00066F9C" w:rsidRPr="00853E3D" w:rsidRDefault="00066F9C" w:rsidP="00066F9C">
      <w:pPr>
        <w:rPr>
          <w:rFonts w:ascii="Calibri" w:hAnsi="Calibri" w:cs="Arial"/>
          <w:sz w:val="20"/>
          <w:szCs w:val="20"/>
        </w:rPr>
      </w:pPr>
    </w:p>
    <w:p w:rsidR="00066F9C" w:rsidRDefault="00066F9C" w:rsidP="00066F9C">
      <w:pPr>
        <w:rPr>
          <w:rFonts w:ascii="Calibri" w:hAnsi="Calibri" w:cs="Arial"/>
          <w:sz w:val="20"/>
          <w:szCs w:val="20"/>
        </w:rPr>
      </w:pPr>
    </w:p>
    <w:p w:rsidR="00066F9C" w:rsidRPr="00853E3D" w:rsidRDefault="00066F9C" w:rsidP="00066F9C">
      <w:pPr>
        <w:rPr>
          <w:rFonts w:ascii="Calibri" w:hAnsi="Calibri" w:cs="Arial"/>
          <w:sz w:val="20"/>
          <w:szCs w:val="20"/>
        </w:rPr>
      </w:pPr>
    </w:p>
    <w:p w:rsidR="00066F9C" w:rsidRPr="00853E3D" w:rsidRDefault="00066F9C" w:rsidP="00066F9C">
      <w:pPr>
        <w:tabs>
          <w:tab w:val="left" w:pos="3682"/>
        </w:tabs>
        <w:rPr>
          <w:rFonts w:ascii="Calibri" w:hAnsi="Calibri" w:cs="Arial"/>
          <w:sz w:val="20"/>
          <w:szCs w:val="20"/>
          <w:lang w:val="es-ES"/>
        </w:rPr>
      </w:pPr>
      <w:r>
        <w:rPr>
          <w:noProof/>
          <w:lang w:eastAsia="es-MX"/>
        </w:rPr>
        <mc:AlternateContent>
          <mc:Choice Requires="wps">
            <w:drawing>
              <wp:anchor distT="4294967294" distB="4294967294" distL="114300" distR="114300" simplePos="0" relativeHeight="251660288" behindDoc="0" locked="0" layoutInCell="1" allowOverlap="1">
                <wp:simplePos x="0" y="0"/>
                <wp:positionH relativeFrom="column">
                  <wp:posOffset>3771900</wp:posOffset>
                </wp:positionH>
                <wp:positionV relativeFrom="paragraph">
                  <wp:posOffset>168274</wp:posOffset>
                </wp:positionV>
                <wp:extent cx="21717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pt,13.25pt" to="46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"/>
            </w:pict>
          </mc:Fallback>
        </mc:AlternateContent>
      </w:r>
      <w:r>
        <w:rPr>
          <w:noProof/>
          <w:lang w:eastAsia="es-MX"/>
        </w:rPr>
        <mc:AlternateContent>
          <mc:Choice Requires="wps">
            <w:drawing>
              <wp:anchor distT="4294967294" distB="4294967294" distL="114300" distR="114300" simplePos="0" relativeHeight="251659264" behindDoc="0" locked="0" layoutInCell="1" allowOverlap="1">
                <wp:simplePos x="0" y="0"/>
                <wp:positionH relativeFrom="column">
                  <wp:posOffset>342900</wp:posOffset>
                </wp:positionH>
                <wp:positionV relativeFrom="paragraph">
                  <wp:posOffset>168274</wp:posOffset>
                </wp:positionV>
                <wp:extent cx="2057400" cy="0"/>
                <wp:effectExtent l="0" t="0" r="190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13.25pt" to="18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4yGAIAADI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"/>
            </w:pict>
          </mc:Fallback>
        </mc:AlternateContent>
      </w:r>
    </w:p>
    <w:p w:rsidR="00066F9C" w:rsidRPr="00853E3D" w:rsidRDefault="00066F9C" w:rsidP="00066F9C">
      <w:pPr>
        <w:tabs>
          <w:tab w:val="left" w:pos="3682"/>
        </w:tabs>
        <w:rPr>
          <w:rFonts w:ascii="Calibri" w:hAnsi="Calibri" w:cs="Arial"/>
          <w:sz w:val="20"/>
          <w:szCs w:val="20"/>
        </w:rPr>
      </w:pPr>
      <w:r w:rsidRPr="00853E3D">
        <w:rPr>
          <w:rFonts w:ascii="Calibri" w:hAnsi="Calibri" w:cs="Arial"/>
          <w:sz w:val="20"/>
          <w:szCs w:val="20"/>
          <w:lang w:val="es-ES"/>
        </w:rPr>
        <w:t xml:space="preserve">               </w:t>
      </w:r>
      <w:r w:rsidRPr="00853E3D">
        <w:rPr>
          <w:rFonts w:ascii="Calibri" w:hAnsi="Calibri"/>
          <w:sz w:val="20"/>
          <w:szCs w:val="20"/>
        </w:rPr>
        <w:t>C.P. Manuel Jesús González Cardeña</w:t>
      </w:r>
      <w:r w:rsidRPr="00853E3D">
        <w:rPr>
          <w:rFonts w:ascii="Calibri" w:hAnsi="Calibri" w:cs="Arial"/>
          <w:sz w:val="20"/>
          <w:szCs w:val="20"/>
          <w:lang w:val="es-ES"/>
        </w:rPr>
        <w:tab/>
        <w:t xml:space="preserve">     </w:t>
      </w:r>
      <w:r w:rsidRPr="00853E3D">
        <w:rPr>
          <w:rFonts w:ascii="Calibri" w:hAnsi="Calibri" w:cs="Arial"/>
          <w:sz w:val="20"/>
          <w:szCs w:val="20"/>
          <w:lang w:val="es-ES"/>
        </w:rPr>
        <w:tab/>
        <w:t xml:space="preserve">                                </w:t>
      </w:r>
      <w:r>
        <w:rPr>
          <w:rFonts w:ascii="Calibri" w:hAnsi="Calibri" w:cs="Arial"/>
          <w:sz w:val="20"/>
          <w:szCs w:val="20"/>
          <w:lang w:val="es-ES"/>
        </w:rPr>
        <w:t xml:space="preserve">         C.P. </w:t>
      </w:r>
      <w:r w:rsidRPr="00853E3D">
        <w:rPr>
          <w:rFonts w:ascii="Calibri" w:hAnsi="Calibri" w:cs="Arial"/>
          <w:sz w:val="20"/>
          <w:szCs w:val="20"/>
          <w:lang w:val="es-ES"/>
        </w:rPr>
        <w:t>M</w:t>
      </w:r>
      <w:proofErr w:type="spellStart"/>
      <w:r w:rsidRPr="00853E3D">
        <w:rPr>
          <w:rFonts w:ascii="Calibri" w:hAnsi="Calibri"/>
          <w:sz w:val="20"/>
          <w:szCs w:val="20"/>
        </w:rPr>
        <w:t>iguel</w:t>
      </w:r>
      <w:proofErr w:type="spellEnd"/>
      <w:r w:rsidRPr="00853E3D">
        <w:rPr>
          <w:rFonts w:ascii="Calibri" w:hAnsi="Calibri"/>
          <w:sz w:val="20"/>
          <w:szCs w:val="20"/>
        </w:rPr>
        <w:t xml:space="preserve"> Francisco Escobedo Novelo</w:t>
      </w:r>
    </w:p>
    <w:p w:rsidR="00066F9C" w:rsidRPr="00853E3D" w:rsidRDefault="00066F9C" w:rsidP="00066F9C">
      <w:pPr>
        <w:tabs>
          <w:tab w:val="left" w:pos="3682"/>
        </w:tabs>
        <w:rPr>
          <w:rFonts w:ascii="Calibri" w:hAnsi="Calibri" w:cs="Arial"/>
          <w:sz w:val="20"/>
          <w:szCs w:val="20"/>
        </w:rPr>
      </w:pPr>
      <w:r w:rsidRPr="00853E3D">
        <w:rPr>
          <w:rFonts w:ascii="Calibri" w:hAnsi="Calibri" w:cs="Arial"/>
          <w:sz w:val="20"/>
          <w:szCs w:val="20"/>
        </w:rPr>
        <w:t xml:space="preserve">             </w:t>
      </w:r>
      <w:r w:rsidRPr="00853E3D">
        <w:rPr>
          <w:rFonts w:ascii="Calibri" w:hAnsi="Calibri"/>
          <w:sz w:val="20"/>
          <w:szCs w:val="20"/>
        </w:rPr>
        <w:t>Director de Administración y Finanzas                                                                            Director General</w:t>
      </w:r>
    </w:p>
    <w:p w:rsidR="00066F9C" w:rsidRPr="00853E3D" w:rsidRDefault="00066F9C" w:rsidP="00066F9C">
      <w:pPr>
        <w:jc w:val="center"/>
        <w:rPr>
          <w:rFonts w:ascii="Calibri" w:hAnsi="Calibri"/>
          <w:sz w:val="20"/>
          <w:szCs w:val="20"/>
        </w:rPr>
      </w:pPr>
    </w:p>
    <w:p w:rsidR="00066F9C" w:rsidRPr="00853E3D" w:rsidRDefault="00066F9C" w:rsidP="00066F9C">
      <w:pPr>
        <w:jc w:val="center"/>
        <w:rPr>
          <w:rFonts w:ascii="Calibri" w:hAnsi="Calibri"/>
          <w:sz w:val="20"/>
          <w:szCs w:val="20"/>
        </w:rPr>
      </w:pPr>
    </w:p>
    <w:p w:rsidR="00066F9C" w:rsidRPr="00853E3D" w:rsidRDefault="00066F9C" w:rsidP="00066F9C">
      <w:pPr>
        <w:rPr>
          <w:rFonts w:ascii="Calibri" w:hAnsi="Calibri"/>
          <w:sz w:val="20"/>
          <w:szCs w:val="20"/>
        </w:rPr>
      </w:pPr>
    </w:p>
    <w:p w:rsidR="00066F9C" w:rsidRPr="00B271AC" w:rsidRDefault="00066F9C" w:rsidP="00066F9C">
      <w:pPr>
        <w:jc w:val="center"/>
        <w:rPr>
          <w:rFonts w:ascii="Calibri" w:hAnsi="Calibri"/>
          <w:sz w:val="20"/>
          <w:szCs w:val="20"/>
        </w:rPr>
      </w:pPr>
      <w:r w:rsidRPr="00853E3D">
        <w:rPr>
          <w:rFonts w:ascii="Calibri" w:hAnsi="Calibri"/>
          <w:sz w:val="20"/>
          <w:szCs w:val="20"/>
        </w:rPr>
        <w:t>Elaboró</w:t>
      </w:r>
    </w:p>
    <w:p w:rsidR="00066F9C" w:rsidRPr="00853E3D" w:rsidRDefault="00066F9C" w:rsidP="00066F9C">
      <w:pPr>
        <w:rPr>
          <w:rFonts w:ascii="Calibri" w:hAnsi="Calibri" w:cs="Arial"/>
          <w:sz w:val="20"/>
          <w:szCs w:val="20"/>
        </w:rPr>
      </w:pPr>
    </w:p>
    <w:p w:rsidR="00066F9C" w:rsidRPr="00853E3D" w:rsidRDefault="00066F9C" w:rsidP="00066F9C">
      <w:pPr>
        <w:rPr>
          <w:rFonts w:ascii="Calibri" w:hAnsi="Calibri" w:cs="Arial"/>
          <w:sz w:val="20"/>
          <w:szCs w:val="20"/>
        </w:rPr>
      </w:pPr>
    </w:p>
    <w:p w:rsidR="00066F9C" w:rsidRPr="00853E3D" w:rsidRDefault="00066F9C" w:rsidP="00066F9C">
      <w:pPr>
        <w:rPr>
          <w:rFonts w:ascii="Calibri" w:hAnsi="Calibri" w:cs="Arial"/>
          <w:sz w:val="20"/>
          <w:szCs w:val="20"/>
        </w:rPr>
      </w:pPr>
      <w:r>
        <w:rPr>
          <w:noProof/>
          <w:lang w:eastAsia="es-MX"/>
        </w:rPr>
        <mc:AlternateContent>
          <mc:Choice Requires="wps">
            <w:drawing>
              <wp:anchor distT="4294967294" distB="4294967294" distL="114300" distR="114300" simplePos="0" relativeHeight="251661312" behindDoc="0" locked="0" layoutInCell="1" allowOverlap="1">
                <wp:simplePos x="0" y="0"/>
                <wp:positionH relativeFrom="column">
                  <wp:posOffset>2171700</wp:posOffset>
                </wp:positionH>
                <wp:positionV relativeFrom="paragraph">
                  <wp:posOffset>154304</wp:posOffset>
                </wp:positionV>
                <wp:extent cx="2057400" cy="0"/>
                <wp:effectExtent l="0" t="0" r="1905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pt,12.15pt" to="33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"/>
            </w:pict>
          </mc:Fallback>
        </mc:AlternateContent>
      </w:r>
    </w:p>
    <w:p w:rsidR="00066F9C" w:rsidRPr="00853E3D" w:rsidRDefault="00066F9C" w:rsidP="00066F9C">
      <w:pPr>
        <w:jc w:val="center"/>
        <w:rPr>
          <w:rFonts w:ascii="Calibri" w:hAnsi="Calibri"/>
          <w:sz w:val="20"/>
          <w:szCs w:val="20"/>
        </w:rPr>
      </w:pPr>
      <w:r w:rsidRPr="00853E3D">
        <w:rPr>
          <w:rFonts w:ascii="Calibri" w:hAnsi="Calibri"/>
          <w:sz w:val="20"/>
          <w:szCs w:val="20"/>
        </w:rPr>
        <w:t xml:space="preserve">           C.P. Ramón Antonio Pérez Rivera</w:t>
      </w:r>
    </w:p>
    <w:p w:rsidR="00066F9C" w:rsidRPr="00853E3D" w:rsidRDefault="00066F9C" w:rsidP="00066F9C">
      <w:pPr>
        <w:jc w:val="center"/>
        <w:rPr>
          <w:rFonts w:ascii="Calibri" w:hAnsi="Calibri" w:cs="Arial"/>
          <w:sz w:val="20"/>
          <w:szCs w:val="20"/>
        </w:rPr>
      </w:pPr>
      <w:r w:rsidRPr="00853E3D">
        <w:rPr>
          <w:rFonts w:ascii="Calibri" w:hAnsi="Calibri"/>
          <w:sz w:val="20"/>
          <w:szCs w:val="20"/>
        </w:rPr>
        <w:t xml:space="preserve">        Jefe de Contabilidad</w:t>
      </w:r>
    </w:p>
    <w:p w:rsidR="00A279B1" w:rsidRPr="009C7574" w:rsidRDefault="00A279B1" w:rsidP="00CB74C3">
      <w:pPr>
        <w:rPr>
          <w:rFonts w:asciiTheme="minorHAnsi" w:hAnsiTheme="minorHAnsi" w:cs="Arial"/>
          <w:bCs/>
          <w:sz w:val="20"/>
          <w:szCs w:val="20"/>
        </w:rPr>
      </w:pPr>
      <w:bookmarkStart w:id="4" w:name="_GoBack"/>
      <w:bookmarkEnd w:id="4"/>
    </w:p>
    <w:p w:rsidR="0023054F" w:rsidRPr="00D509AB" w:rsidRDefault="00392C20" w:rsidP="00820246">
      <w:pPr>
        <w:rPr>
          <w:rFonts w:ascii="Arial" w:hAnsi="Arial" w:cs="Arial"/>
          <w:sz w:val="20"/>
          <w:szCs w:val="20"/>
        </w:rPr>
      </w:pPr>
      <w:r w:rsidRPr="000A7489">
        <w:rPr>
          <w:rFonts w:ascii="ZapfHumnst BT" w:hAnsi="ZapfHumnst BT"/>
          <w:sz w:val="20"/>
          <w:szCs w:val="20"/>
        </w:rPr>
        <w:t xml:space="preserve">   </w:t>
      </w:r>
    </w:p>
    <w:p w:rsidR="00FF0F0D" w:rsidRPr="00D509AB" w:rsidRDefault="00392C20" w:rsidP="001314EF">
      <w:pPr>
        <w:rPr>
          <w:rFonts w:ascii="Arial" w:hAnsi="Arial" w:cs="Arial"/>
          <w:sz w:val="20"/>
          <w:szCs w:val="20"/>
        </w:rPr>
      </w:pPr>
      <w:r w:rsidRPr="000A7489">
        <w:rPr>
          <w:rFonts w:ascii="ZapfHumnst BT" w:hAnsi="ZapfHumnst BT"/>
          <w:sz w:val="20"/>
          <w:szCs w:val="20"/>
        </w:rPr>
        <w:t xml:space="preserve">               </w:t>
      </w:r>
      <w:r w:rsidR="00D509AB">
        <w:rPr>
          <w:rFonts w:ascii="ZapfHumnst BT" w:hAnsi="ZapfHumnst BT"/>
          <w:sz w:val="20"/>
          <w:szCs w:val="20"/>
        </w:rPr>
        <w:t xml:space="preserve">   </w:t>
      </w:r>
      <w:r w:rsidR="00A93EE2" w:rsidRPr="000A7489">
        <w:rPr>
          <w:rFonts w:ascii="ZapfHumnst BT" w:hAnsi="ZapfHumnst BT"/>
          <w:sz w:val="20"/>
          <w:szCs w:val="20"/>
        </w:rPr>
        <w:t xml:space="preserve"> </w:t>
      </w:r>
      <w:r w:rsidRPr="000A7489">
        <w:rPr>
          <w:rFonts w:ascii="ZapfHumnst BT" w:hAnsi="ZapfHumnst BT"/>
          <w:sz w:val="20"/>
          <w:szCs w:val="20"/>
        </w:rPr>
        <w:t xml:space="preserve">     </w:t>
      </w:r>
    </w:p>
    <w:sectPr w:rsidR="00FF0F0D" w:rsidRPr="00D509AB" w:rsidSect="0091553A">
      <w:headerReference w:type="default" r:id="rId11"/>
      <w:footerReference w:type="even" r:id="rId12"/>
      <w:footerReference w:type="default" r:id="rId13"/>
      <w:pgSz w:w="12240" w:h="15840"/>
      <w:pgMar w:top="567" w:right="1134" w:bottom="567" w:left="1134" w:header="141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D5E" w:rsidRDefault="004B2D5E">
      <w:r>
        <w:separator/>
      </w:r>
    </w:p>
  </w:endnote>
  <w:endnote w:type="continuationSeparator" w:id="0">
    <w:p w:rsidR="004B2D5E" w:rsidRDefault="004B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Humnst BT">
    <w:altName w:val="Bahnschrift Light"/>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E44" w:rsidRDefault="00C619D9">
    <w:pPr>
      <w:pStyle w:val="Piedepgina"/>
      <w:framePr w:wrap="around" w:vAnchor="text" w:hAnchor="margin" w:xAlign="right" w:y="1"/>
      <w:rPr>
        <w:rStyle w:val="Nmerodepgina"/>
      </w:rPr>
    </w:pPr>
    <w:r>
      <w:rPr>
        <w:rStyle w:val="Nmerodepgina"/>
      </w:rPr>
      <w:fldChar w:fldCharType="begin"/>
    </w:r>
    <w:r w:rsidR="00466E44">
      <w:rPr>
        <w:rStyle w:val="Nmerodepgina"/>
      </w:rPr>
      <w:instrText xml:space="preserve">PAGE  </w:instrText>
    </w:r>
    <w:r>
      <w:rPr>
        <w:rStyle w:val="Nmerodepgina"/>
      </w:rPr>
      <w:fldChar w:fldCharType="end"/>
    </w:r>
  </w:p>
  <w:p w:rsidR="00466E44" w:rsidRDefault="00466E4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E44" w:rsidRDefault="00466E44">
    <w:pPr>
      <w:pStyle w:val="Piedepgina"/>
      <w:ind w:right="360"/>
      <w:rPr>
        <w:color w:val="C0C0C0"/>
        <w:sz w:val="16"/>
      </w:rPr>
    </w:pPr>
  </w:p>
  <w:p w:rsidR="00466E44" w:rsidRDefault="00466E4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D5E" w:rsidRDefault="004B2D5E">
      <w:r>
        <w:separator/>
      </w:r>
    </w:p>
  </w:footnote>
  <w:footnote w:type="continuationSeparator" w:id="0">
    <w:p w:rsidR="004B2D5E" w:rsidRDefault="004B2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E44" w:rsidRDefault="003E1D5B" w:rsidP="00E516EB">
    <w:pPr>
      <w:pStyle w:val="Encabezado"/>
      <w:jc w:val="center"/>
      <w:rPr>
        <w:rFonts w:asciiTheme="minorHAnsi" w:hAnsiTheme="minorHAnsi"/>
        <w:b/>
        <w:sz w:val="22"/>
        <w:szCs w:val="22"/>
        <w:lang w:val="es-ES"/>
      </w:rPr>
    </w:pPr>
    <w:r>
      <w:rPr>
        <w:rFonts w:asciiTheme="minorHAnsi" w:hAnsiTheme="minorHAnsi"/>
        <w:b/>
        <w:noProof/>
        <w:sz w:val="22"/>
        <w:szCs w:val="22"/>
        <w:lang w:eastAsia="es-MX"/>
      </w:rPr>
      <w:drawing>
        <wp:anchor distT="0" distB="0" distL="114300" distR="114300" simplePos="0" relativeHeight="251658240" behindDoc="1" locked="0" layoutInCell="1" allowOverlap="1" wp14:anchorId="3D1407D5" wp14:editId="447D3C36">
          <wp:simplePos x="0" y="0"/>
          <wp:positionH relativeFrom="column">
            <wp:posOffset>-29845</wp:posOffset>
          </wp:positionH>
          <wp:positionV relativeFrom="paragraph">
            <wp:posOffset>152400</wp:posOffset>
          </wp:positionV>
          <wp:extent cx="1083310" cy="353060"/>
          <wp:effectExtent l="0" t="0" r="2540" b="8890"/>
          <wp:wrapThrough wrapText="bothSides">
            <wp:wrapPolygon edited="0">
              <wp:start x="0" y="0"/>
              <wp:lineTo x="0" y="20978"/>
              <wp:lineTo x="21271" y="20978"/>
              <wp:lineTo x="2127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31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E44" w:rsidRPr="007D4589" w:rsidRDefault="00466E44" w:rsidP="003E1D5B">
    <w:pPr>
      <w:pStyle w:val="Encabezado"/>
      <w:jc w:val="center"/>
      <w:rPr>
        <w:rFonts w:asciiTheme="minorHAnsi" w:hAnsiTheme="minorHAnsi"/>
        <w:b/>
        <w:sz w:val="22"/>
        <w:szCs w:val="22"/>
        <w:lang w:val="es-ES"/>
      </w:rPr>
    </w:pPr>
    <w:r w:rsidRPr="007D4589">
      <w:rPr>
        <w:rFonts w:asciiTheme="minorHAnsi" w:hAnsiTheme="minorHAnsi"/>
        <w:b/>
        <w:sz w:val="22"/>
        <w:szCs w:val="22"/>
        <w:lang w:val="es-ES"/>
      </w:rPr>
      <w:t>Fideicomiso Garante de la Orquesta Sinfónica de Yucatán</w:t>
    </w:r>
  </w:p>
  <w:p w:rsidR="00466E44" w:rsidRPr="007D4589" w:rsidRDefault="00B44268" w:rsidP="00E516EB">
    <w:pPr>
      <w:pStyle w:val="Encabezado"/>
      <w:tabs>
        <w:tab w:val="left" w:pos="480"/>
        <w:tab w:val="center" w:pos="4986"/>
      </w:tabs>
      <w:jc w:val="center"/>
      <w:rPr>
        <w:rFonts w:asciiTheme="minorHAnsi" w:hAnsiTheme="minorHAnsi"/>
        <w:b/>
        <w:sz w:val="22"/>
        <w:szCs w:val="22"/>
        <w:lang w:val="es-ES"/>
      </w:rPr>
    </w:pPr>
    <w:r>
      <w:rPr>
        <w:rFonts w:asciiTheme="minorHAnsi" w:hAnsiTheme="minorHAnsi"/>
        <w:b/>
        <w:sz w:val="22"/>
        <w:szCs w:val="22"/>
        <w:lang w:val="es-ES"/>
      </w:rPr>
      <w:t xml:space="preserve">Indicadores de Resultados </w:t>
    </w:r>
    <w:r w:rsidR="00C93B32">
      <w:rPr>
        <w:rFonts w:asciiTheme="minorHAnsi" w:hAnsiTheme="minorHAnsi"/>
        <w:b/>
        <w:sz w:val="22"/>
        <w:szCs w:val="22"/>
        <w:lang w:val="es-ES"/>
      </w:rPr>
      <w:t>al 3</w:t>
    </w:r>
    <w:r w:rsidR="00A3760A">
      <w:rPr>
        <w:rFonts w:asciiTheme="minorHAnsi" w:hAnsiTheme="minorHAnsi"/>
        <w:b/>
        <w:sz w:val="22"/>
        <w:szCs w:val="22"/>
        <w:lang w:val="es-ES"/>
      </w:rPr>
      <w:t>1</w:t>
    </w:r>
    <w:r w:rsidR="003C1C69">
      <w:rPr>
        <w:rFonts w:asciiTheme="minorHAnsi" w:hAnsiTheme="minorHAnsi"/>
        <w:b/>
        <w:sz w:val="22"/>
        <w:szCs w:val="22"/>
        <w:lang w:val="es-ES"/>
      </w:rPr>
      <w:t xml:space="preserve"> de </w:t>
    </w:r>
    <w:r w:rsidR="00A3760A">
      <w:rPr>
        <w:rFonts w:asciiTheme="minorHAnsi" w:hAnsiTheme="minorHAnsi"/>
        <w:b/>
        <w:sz w:val="22"/>
        <w:szCs w:val="22"/>
        <w:lang w:val="es-ES"/>
      </w:rPr>
      <w:t>Dic</w:t>
    </w:r>
    <w:r w:rsidR="00C41E9C">
      <w:rPr>
        <w:rFonts w:asciiTheme="minorHAnsi" w:hAnsiTheme="minorHAnsi"/>
        <w:b/>
        <w:sz w:val="22"/>
        <w:szCs w:val="22"/>
        <w:lang w:val="es-ES"/>
      </w:rPr>
      <w:t>iem</w:t>
    </w:r>
    <w:r w:rsidR="00B05BAC">
      <w:rPr>
        <w:rFonts w:asciiTheme="minorHAnsi" w:hAnsiTheme="minorHAnsi"/>
        <w:b/>
        <w:sz w:val="22"/>
        <w:szCs w:val="22"/>
        <w:lang w:val="es-ES"/>
      </w:rPr>
      <w:t>bre</w:t>
    </w:r>
    <w:r w:rsidR="003C1C69">
      <w:rPr>
        <w:rFonts w:asciiTheme="minorHAnsi" w:hAnsiTheme="minorHAnsi"/>
        <w:b/>
        <w:sz w:val="22"/>
        <w:szCs w:val="22"/>
        <w:lang w:val="es-ES"/>
      </w:rPr>
      <w:t xml:space="preserve"> </w:t>
    </w:r>
    <w:r w:rsidR="005B1A01">
      <w:rPr>
        <w:rFonts w:asciiTheme="minorHAnsi" w:hAnsiTheme="minorHAnsi"/>
        <w:b/>
        <w:sz w:val="22"/>
        <w:szCs w:val="22"/>
        <w:lang w:val="es-ES"/>
      </w:rPr>
      <w:t>de 2020</w:t>
    </w:r>
  </w:p>
  <w:p w:rsidR="00466E44" w:rsidRPr="00E516EB" w:rsidRDefault="00466E44" w:rsidP="00540129">
    <w:pPr>
      <w:pStyle w:val="Encabezado"/>
      <w:tabs>
        <w:tab w:val="left" w:pos="375"/>
        <w:tab w:val="left" w:pos="750"/>
      </w:tabs>
      <w:rPr>
        <w:rFonts w:asciiTheme="minorHAnsi" w:hAnsiTheme="minorHAnsi"/>
        <w:sz w:val="22"/>
        <w:szCs w:val="22"/>
        <w:lang w:val="es-ES"/>
      </w:rPr>
    </w:pPr>
    <w:r w:rsidRPr="00E516EB">
      <w:rPr>
        <w:rFonts w:asciiTheme="minorHAnsi" w:hAnsiTheme="minorHAnsi"/>
        <w:sz w:val="22"/>
        <w:szCs w:val="22"/>
        <w:lang w:val="es-ES"/>
      </w:rPr>
      <w:tab/>
    </w:r>
    <w:r w:rsidRPr="00E516EB">
      <w:rPr>
        <w:rFonts w:asciiTheme="minorHAnsi" w:hAnsiTheme="minorHAnsi"/>
        <w:sz w:val="22"/>
        <w:szCs w:val="22"/>
        <w:lang w:val="es-ES"/>
      </w:rPr>
      <w:tab/>
    </w:r>
    <w:r w:rsidR="00540129">
      <w:rPr>
        <w:rFonts w:asciiTheme="minorHAnsi" w:hAnsiTheme="minorHAnsi"/>
        <w:sz w:val="22"/>
        <w:szCs w:val="22"/>
        <w:lang w:val="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3F5"/>
    <w:multiLevelType w:val="hybridMultilevel"/>
    <w:tmpl w:val="FDA44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FD467A"/>
    <w:multiLevelType w:val="hybridMultilevel"/>
    <w:tmpl w:val="25CC7330"/>
    <w:lvl w:ilvl="0" w:tplc="D6644F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6B0AB4"/>
    <w:multiLevelType w:val="hybridMultilevel"/>
    <w:tmpl w:val="B4383F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D42F27"/>
    <w:multiLevelType w:val="hybridMultilevel"/>
    <w:tmpl w:val="28B8A934"/>
    <w:lvl w:ilvl="0" w:tplc="A99AFB8E">
      <w:start w:val="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AE86FDB"/>
    <w:multiLevelType w:val="hybridMultilevel"/>
    <w:tmpl w:val="8FCAAF72"/>
    <w:lvl w:ilvl="0" w:tplc="98BCD0E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051D8A"/>
    <w:multiLevelType w:val="hybridMultilevel"/>
    <w:tmpl w:val="6616C146"/>
    <w:lvl w:ilvl="0" w:tplc="51BCEB12">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B87978"/>
    <w:multiLevelType w:val="hybridMultilevel"/>
    <w:tmpl w:val="739C9C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265AF6"/>
    <w:multiLevelType w:val="hybridMultilevel"/>
    <w:tmpl w:val="B3E841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21A0AC2"/>
    <w:multiLevelType w:val="hybridMultilevel"/>
    <w:tmpl w:val="F03CCC92"/>
    <w:lvl w:ilvl="0" w:tplc="B4B055F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22A4BFE"/>
    <w:multiLevelType w:val="hybridMultilevel"/>
    <w:tmpl w:val="9F0401FC"/>
    <w:lvl w:ilvl="0" w:tplc="E990EB7C">
      <w:start w:val="2"/>
      <w:numFmt w:val="bullet"/>
      <w:lvlText w:val="-"/>
      <w:lvlJc w:val="left"/>
      <w:pPr>
        <w:ind w:left="2295" w:hanging="360"/>
      </w:pPr>
      <w:rPr>
        <w:rFonts w:ascii="ZapfHumnst BT" w:eastAsia="Times New Roman" w:hAnsi="ZapfHumnst BT" w:cs="Times New Roman" w:hint="default"/>
      </w:rPr>
    </w:lvl>
    <w:lvl w:ilvl="1" w:tplc="0C0A0003" w:tentative="1">
      <w:start w:val="1"/>
      <w:numFmt w:val="bullet"/>
      <w:lvlText w:val="o"/>
      <w:lvlJc w:val="left"/>
      <w:pPr>
        <w:ind w:left="3015" w:hanging="360"/>
      </w:pPr>
      <w:rPr>
        <w:rFonts w:ascii="Courier New" w:hAnsi="Courier New" w:cs="Courier New" w:hint="default"/>
      </w:rPr>
    </w:lvl>
    <w:lvl w:ilvl="2" w:tplc="0C0A0005" w:tentative="1">
      <w:start w:val="1"/>
      <w:numFmt w:val="bullet"/>
      <w:lvlText w:val=""/>
      <w:lvlJc w:val="left"/>
      <w:pPr>
        <w:ind w:left="3735" w:hanging="360"/>
      </w:pPr>
      <w:rPr>
        <w:rFonts w:ascii="Wingdings" w:hAnsi="Wingdings" w:hint="default"/>
      </w:rPr>
    </w:lvl>
    <w:lvl w:ilvl="3" w:tplc="0C0A0001" w:tentative="1">
      <w:start w:val="1"/>
      <w:numFmt w:val="bullet"/>
      <w:lvlText w:val=""/>
      <w:lvlJc w:val="left"/>
      <w:pPr>
        <w:ind w:left="4455" w:hanging="360"/>
      </w:pPr>
      <w:rPr>
        <w:rFonts w:ascii="Symbol" w:hAnsi="Symbol" w:hint="default"/>
      </w:rPr>
    </w:lvl>
    <w:lvl w:ilvl="4" w:tplc="0C0A0003" w:tentative="1">
      <w:start w:val="1"/>
      <w:numFmt w:val="bullet"/>
      <w:lvlText w:val="o"/>
      <w:lvlJc w:val="left"/>
      <w:pPr>
        <w:ind w:left="5175" w:hanging="360"/>
      </w:pPr>
      <w:rPr>
        <w:rFonts w:ascii="Courier New" w:hAnsi="Courier New" w:cs="Courier New" w:hint="default"/>
      </w:rPr>
    </w:lvl>
    <w:lvl w:ilvl="5" w:tplc="0C0A0005" w:tentative="1">
      <w:start w:val="1"/>
      <w:numFmt w:val="bullet"/>
      <w:lvlText w:val=""/>
      <w:lvlJc w:val="left"/>
      <w:pPr>
        <w:ind w:left="5895" w:hanging="360"/>
      </w:pPr>
      <w:rPr>
        <w:rFonts w:ascii="Wingdings" w:hAnsi="Wingdings" w:hint="default"/>
      </w:rPr>
    </w:lvl>
    <w:lvl w:ilvl="6" w:tplc="0C0A0001" w:tentative="1">
      <w:start w:val="1"/>
      <w:numFmt w:val="bullet"/>
      <w:lvlText w:val=""/>
      <w:lvlJc w:val="left"/>
      <w:pPr>
        <w:ind w:left="6615" w:hanging="360"/>
      </w:pPr>
      <w:rPr>
        <w:rFonts w:ascii="Symbol" w:hAnsi="Symbol" w:hint="default"/>
      </w:rPr>
    </w:lvl>
    <w:lvl w:ilvl="7" w:tplc="0C0A0003" w:tentative="1">
      <w:start w:val="1"/>
      <w:numFmt w:val="bullet"/>
      <w:lvlText w:val="o"/>
      <w:lvlJc w:val="left"/>
      <w:pPr>
        <w:ind w:left="7335" w:hanging="360"/>
      </w:pPr>
      <w:rPr>
        <w:rFonts w:ascii="Courier New" w:hAnsi="Courier New" w:cs="Courier New" w:hint="default"/>
      </w:rPr>
    </w:lvl>
    <w:lvl w:ilvl="8" w:tplc="0C0A0005" w:tentative="1">
      <w:start w:val="1"/>
      <w:numFmt w:val="bullet"/>
      <w:lvlText w:val=""/>
      <w:lvlJc w:val="left"/>
      <w:pPr>
        <w:ind w:left="8055" w:hanging="360"/>
      </w:pPr>
      <w:rPr>
        <w:rFonts w:ascii="Wingdings" w:hAnsi="Wingdings" w:hint="default"/>
      </w:rPr>
    </w:lvl>
  </w:abstractNum>
  <w:abstractNum w:abstractNumId="10">
    <w:nsid w:val="24353BA5"/>
    <w:multiLevelType w:val="hybridMultilevel"/>
    <w:tmpl w:val="AFDAEF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6A7761"/>
    <w:multiLevelType w:val="hybridMultilevel"/>
    <w:tmpl w:val="2F26100A"/>
    <w:lvl w:ilvl="0" w:tplc="0C0A0001">
      <w:start w:val="1"/>
      <w:numFmt w:val="bullet"/>
      <w:lvlText w:val=""/>
      <w:lvlJc w:val="left"/>
      <w:pPr>
        <w:ind w:left="2295"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F39487C"/>
    <w:multiLevelType w:val="hybridMultilevel"/>
    <w:tmpl w:val="F1C6DAD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1415227"/>
    <w:multiLevelType w:val="hybridMultilevel"/>
    <w:tmpl w:val="CB9EFCB6"/>
    <w:lvl w:ilvl="0" w:tplc="1E5E5690">
      <w:start w:val="3"/>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16E0D41"/>
    <w:multiLevelType w:val="hybridMultilevel"/>
    <w:tmpl w:val="3FFCFC12"/>
    <w:lvl w:ilvl="0" w:tplc="01BCC68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61037A9"/>
    <w:multiLevelType w:val="hybridMultilevel"/>
    <w:tmpl w:val="06EE1D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9BA6202"/>
    <w:multiLevelType w:val="hybridMultilevel"/>
    <w:tmpl w:val="DAFEF71A"/>
    <w:lvl w:ilvl="0" w:tplc="97900168">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0331CEC"/>
    <w:multiLevelType w:val="hybridMultilevel"/>
    <w:tmpl w:val="F3FED684"/>
    <w:lvl w:ilvl="0" w:tplc="F970DD8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0D868E2"/>
    <w:multiLevelType w:val="hybridMultilevel"/>
    <w:tmpl w:val="05B06DE0"/>
    <w:lvl w:ilvl="0" w:tplc="A90A4EC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1C970ED"/>
    <w:multiLevelType w:val="hybridMultilevel"/>
    <w:tmpl w:val="EF8ED0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4623BD"/>
    <w:multiLevelType w:val="hybridMultilevel"/>
    <w:tmpl w:val="A12CAADA"/>
    <w:lvl w:ilvl="0" w:tplc="E0DAC5D2">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5713F67"/>
    <w:multiLevelType w:val="hybridMultilevel"/>
    <w:tmpl w:val="231AFDE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65F70EA"/>
    <w:multiLevelType w:val="hybridMultilevel"/>
    <w:tmpl w:val="2B001CA2"/>
    <w:lvl w:ilvl="0" w:tplc="806C4EE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B2C0AF5"/>
    <w:multiLevelType w:val="hybridMultilevel"/>
    <w:tmpl w:val="0214FD0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1DE6821"/>
    <w:multiLevelType w:val="hybridMultilevel"/>
    <w:tmpl w:val="84C63E5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CAE44A4"/>
    <w:multiLevelType w:val="hybridMultilevel"/>
    <w:tmpl w:val="335A848C"/>
    <w:lvl w:ilvl="0" w:tplc="E8824428">
      <w:start w:val="1"/>
      <w:numFmt w:val="upperRoman"/>
      <w:lvlText w:val="%1."/>
      <w:lvlJc w:val="righ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DBF2876"/>
    <w:multiLevelType w:val="hybridMultilevel"/>
    <w:tmpl w:val="E29AF15E"/>
    <w:lvl w:ilvl="0" w:tplc="8870CE9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55112E1"/>
    <w:multiLevelType w:val="hybridMultilevel"/>
    <w:tmpl w:val="2C5C18BE"/>
    <w:lvl w:ilvl="0" w:tplc="0C0A0001">
      <w:start w:val="1"/>
      <w:numFmt w:val="bullet"/>
      <w:lvlText w:val=""/>
      <w:lvlJc w:val="left"/>
      <w:pPr>
        <w:ind w:left="2295" w:hanging="360"/>
      </w:pPr>
      <w:rPr>
        <w:rFonts w:ascii="Symbol" w:hAnsi="Symbol" w:hint="default"/>
      </w:rPr>
    </w:lvl>
    <w:lvl w:ilvl="1" w:tplc="0C0A0003" w:tentative="1">
      <w:start w:val="1"/>
      <w:numFmt w:val="bullet"/>
      <w:lvlText w:val="o"/>
      <w:lvlJc w:val="left"/>
      <w:pPr>
        <w:ind w:left="3015" w:hanging="360"/>
      </w:pPr>
      <w:rPr>
        <w:rFonts w:ascii="Courier New" w:hAnsi="Courier New" w:cs="Courier New" w:hint="default"/>
      </w:rPr>
    </w:lvl>
    <w:lvl w:ilvl="2" w:tplc="0C0A0005" w:tentative="1">
      <w:start w:val="1"/>
      <w:numFmt w:val="bullet"/>
      <w:lvlText w:val=""/>
      <w:lvlJc w:val="left"/>
      <w:pPr>
        <w:ind w:left="3735" w:hanging="360"/>
      </w:pPr>
      <w:rPr>
        <w:rFonts w:ascii="Wingdings" w:hAnsi="Wingdings" w:hint="default"/>
      </w:rPr>
    </w:lvl>
    <w:lvl w:ilvl="3" w:tplc="0C0A0001" w:tentative="1">
      <w:start w:val="1"/>
      <w:numFmt w:val="bullet"/>
      <w:lvlText w:val=""/>
      <w:lvlJc w:val="left"/>
      <w:pPr>
        <w:ind w:left="4455" w:hanging="360"/>
      </w:pPr>
      <w:rPr>
        <w:rFonts w:ascii="Symbol" w:hAnsi="Symbol" w:hint="default"/>
      </w:rPr>
    </w:lvl>
    <w:lvl w:ilvl="4" w:tplc="0C0A0003" w:tentative="1">
      <w:start w:val="1"/>
      <w:numFmt w:val="bullet"/>
      <w:lvlText w:val="o"/>
      <w:lvlJc w:val="left"/>
      <w:pPr>
        <w:ind w:left="5175" w:hanging="360"/>
      </w:pPr>
      <w:rPr>
        <w:rFonts w:ascii="Courier New" w:hAnsi="Courier New" w:cs="Courier New" w:hint="default"/>
      </w:rPr>
    </w:lvl>
    <w:lvl w:ilvl="5" w:tplc="0C0A0005" w:tentative="1">
      <w:start w:val="1"/>
      <w:numFmt w:val="bullet"/>
      <w:lvlText w:val=""/>
      <w:lvlJc w:val="left"/>
      <w:pPr>
        <w:ind w:left="5895" w:hanging="360"/>
      </w:pPr>
      <w:rPr>
        <w:rFonts w:ascii="Wingdings" w:hAnsi="Wingdings" w:hint="default"/>
      </w:rPr>
    </w:lvl>
    <w:lvl w:ilvl="6" w:tplc="0C0A0001" w:tentative="1">
      <w:start w:val="1"/>
      <w:numFmt w:val="bullet"/>
      <w:lvlText w:val=""/>
      <w:lvlJc w:val="left"/>
      <w:pPr>
        <w:ind w:left="6615" w:hanging="360"/>
      </w:pPr>
      <w:rPr>
        <w:rFonts w:ascii="Symbol" w:hAnsi="Symbol" w:hint="default"/>
      </w:rPr>
    </w:lvl>
    <w:lvl w:ilvl="7" w:tplc="0C0A0003" w:tentative="1">
      <w:start w:val="1"/>
      <w:numFmt w:val="bullet"/>
      <w:lvlText w:val="o"/>
      <w:lvlJc w:val="left"/>
      <w:pPr>
        <w:ind w:left="7335" w:hanging="360"/>
      </w:pPr>
      <w:rPr>
        <w:rFonts w:ascii="Courier New" w:hAnsi="Courier New" w:cs="Courier New" w:hint="default"/>
      </w:rPr>
    </w:lvl>
    <w:lvl w:ilvl="8" w:tplc="0C0A0005" w:tentative="1">
      <w:start w:val="1"/>
      <w:numFmt w:val="bullet"/>
      <w:lvlText w:val=""/>
      <w:lvlJc w:val="left"/>
      <w:pPr>
        <w:ind w:left="8055" w:hanging="360"/>
      </w:pPr>
      <w:rPr>
        <w:rFonts w:ascii="Wingdings" w:hAnsi="Wingdings" w:hint="default"/>
      </w:rPr>
    </w:lvl>
  </w:abstractNum>
  <w:abstractNum w:abstractNumId="28">
    <w:nsid w:val="6A370A79"/>
    <w:multiLevelType w:val="hybridMultilevel"/>
    <w:tmpl w:val="048A6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ADB1BE5"/>
    <w:multiLevelType w:val="hybridMultilevel"/>
    <w:tmpl w:val="9EF0FB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B99114E"/>
    <w:multiLevelType w:val="hybridMultilevel"/>
    <w:tmpl w:val="83A23BCC"/>
    <w:lvl w:ilvl="0" w:tplc="8F3C5B30">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D8E31F3"/>
    <w:multiLevelType w:val="hybridMultilevel"/>
    <w:tmpl w:val="E70AEFF6"/>
    <w:lvl w:ilvl="0" w:tplc="2696AB5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2">
    <w:nsid w:val="70B17C21"/>
    <w:multiLevelType w:val="hybridMultilevel"/>
    <w:tmpl w:val="0B0048B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2545F37"/>
    <w:multiLevelType w:val="hybridMultilevel"/>
    <w:tmpl w:val="0240CCF4"/>
    <w:lvl w:ilvl="0" w:tplc="01BCC688">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5923613"/>
    <w:multiLevelType w:val="hybridMultilevel"/>
    <w:tmpl w:val="16A86A5A"/>
    <w:lvl w:ilvl="0" w:tplc="B14C4FF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B472D9C"/>
    <w:multiLevelType w:val="hybridMultilevel"/>
    <w:tmpl w:val="335A848C"/>
    <w:lvl w:ilvl="0" w:tplc="E8824428">
      <w:start w:val="1"/>
      <w:numFmt w:val="upperRoman"/>
      <w:lvlText w:val="%1."/>
      <w:lvlJc w:val="righ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C32682A"/>
    <w:multiLevelType w:val="hybridMultilevel"/>
    <w:tmpl w:val="066A5F76"/>
    <w:lvl w:ilvl="0" w:tplc="0C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C4D5C38"/>
    <w:multiLevelType w:val="hybridMultilevel"/>
    <w:tmpl w:val="16A86A5A"/>
    <w:lvl w:ilvl="0" w:tplc="B14C4FF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E2A6229"/>
    <w:multiLevelType w:val="hybridMultilevel"/>
    <w:tmpl w:val="335A848C"/>
    <w:lvl w:ilvl="0" w:tplc="E8824428">
      <w:start w:val="1"/>
      <w:numFmt w:val="upperRoman"/>
      <w:lvlText w:val="%1."/>
      <w:lvlJc w:val="righ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EB6549C"/>
    <w:multiLevelType w:val="hybridMultilevel"/>
    <w:tmpl w:val="1E2A74C8"/>
    <w:lvl w:ilvl="0" w:tplc="D5328C54">
      <w:start w:val="2"/>
      <w:numFmt w:val="bullet"/>
      <w:lvlText w:val="-"/>
      <w:lvlJc w:val="left"/>
      <w:pPr>
        <w:ind w:left="2655" w:hanging="360"/>
      </w:pPr>
      <w:rPr>
        <w:rFonts w:ascii="ZapfHumnst BT" w:eastAsia="Times New Roman" w:hAnsi="ZapfHumnst BT" w:cs="Times New Roman" w:hint="default"/>
      </w:rPr>
    </w:lvl>
    <w:lvl w:ilvl="1" w:tplc="0C0A0003" w:tentative="1">
      <w:start w:val="1"/>
      <w:numFmt w:val="bullet"/>
      <w:lvlText w:val="o"/>
      <w:lvlJc w:val="left"/>
      <w:pPr>
        <w:ind w:left="3375" w:hanging="360"/>
      </w:pPr>
      <w:rPr>
        <w:rFonts w:ascii="Courier New" w:hAnsi="Courier New" w:cs="Courier New" w:hint="default"/>
      </w:rPr>
    </w:lvl>
    <w:lvl w:ilvl="2" w:tplc="0C0A0005" w:tentative="1">
      <w:start w:val="1"/>
      <w:numFmt w:val="bullet"/>
      <w:lvlText w:val=""/>
      <w:lvlJc w:val="left"/>
      <w:pPr>
        <w:ind w:left="4095" w:hanging="360"/>
      </w:pPr>
      <w:rPr>
        <w:rFonts w:ascii="Wingdings" w:hAnsi="Wingdings" w:hint="default"/>
      </w:rPr>
    </w:lvl>
    <w:lvl w:ilvl="3" w:tplc="0C0A0001" w:tentative="1">
      <w:start w:val="1"/>
      <w:numFmt w:val="bullet"/>
      <w:lvlText w:val=""/>
      <w:lvlJc w:val="left"/>
      <w:pPr>
        <w:ind w:left="4815" w:hanging="360"/>
      </w:pPr>
      <w:rPr>
        <w:rFonts w:ascii="Symbol" w:hAnsi="Symbol" w:hint="default"/>
      </w:rPr>
    </w:lvl>
    <w:lvl w:ilvl="4" w:tplc="0C0A0003" w:tentative="1">
      <w:start w:val="1"/>
      <w:numFmt w:val="bullet"/>
      <w:lvlText w:val="o"/>
      <w:lvlJc w:val="left"/>
      <w:pPr>
        <w:ind w:left="5535" w:hanging="360"/>
      </w:pPr>
      <w:rPr>
        <w:rFonts w:ascii="Courier New" w:hAnsi="Courier New" w:cs="Courier New" w:hint="default"/>
      </w:rPr>
    </w:lvl>
    <w:lvl w:ilvl="5" w:tplc="0C0A0005" w:tentative="1">
      <w:start w:val="1"/>
      <w:numFmt w:val="bullet"/>
      <w:lvlText w:val=""/>
      <w:lvlJc w:val="left"/>
      <w:pPr>
        <w:ind w:left="6255" w:hanging="360"/>
      </w:pPr>
      <w:rPr>
        <w:rFonts w:ascii="Wingdings" w:hAnsi="Wingdings" w:hint="default"/>
      </w:rPr>
    </w:lvl>
    <w:lvl w:ilvl="6" w:tplc="0C0A0001" w:tentative="1">
      <w:start w:val="1"/>
      <w:numFmt w:val="bullet"/>
      <w:lvlText w:val=""/>
      <w:lvlJc w:val="left"/>
      <w:pPr>
        <w:ind w:left="6975" w:hanging="360"/>
      </w:pPr>
      <w:rPr>
        <w:rFonts w:ascii="Symbol" w:hAnsi="Symbol" w:hint="default"/>
      </w:rPr>
    </w:lvl>
    <w:lvl w:ilvl="7" w:tplc="0C0A0003" w:tentative="1">
      <w:start w:val="1"/>
      <w:numFmt w:val="bullet"/>
      <w:lvlText w:val="o"/>
      <w:lvlJc w:val="left"/>
      <w:pPr>
        <w:ind w:left="7695" w:hanging="360"/>
      </w:pPr>
      <w:rPr>
        <w:rFonts w:ascii="Courier New" w:hAnsi="Courier New" w:cs="Courier New" w:hint="default"/>
      </w:rPr>
    </w:lvl>
    <w:lvl w:ilvl="8" w:tplc="0C0A0005" w:tentative="1">
      <w:start w:val="1"/>
      <w:numFmt w:val="bullet"/>
      <w:lvlText w:val=""/>
      <w:lvlJc w:val="left"/>
      <w:pPr>
        <w:ind w:left="8415" w:hanging="360"/>
      </w:pPr>
      <w:rPr>
        <w:rFonts w:ascii="Wingdings" w:hAnsi="Wingdings" w:hint="default"/>
      </w:rPr>
    </w:lvl>
  </w:abstractNum>
  <w:num w:numId="1">
    <w:abstractNumId w:val="1"/>
  </w:num>
  <w:num w:numId="2">
    <w:abstractNumId w:val="32"/>
  </w:num>
  <w:num w:numId="3">
    <w:abstractNumId w:val="27"/>
  </w:num>
  <w:num w:numId="4">
    <w:abstractNumId w:val="29"/>
  </w:num>
  <w:num w:numId="5">
    <w:abstractNumId w:val="11"/>
  </w:num>
  <w:num w:numId="6">
    <w:abstractNumId w:val="2"/>
  </w:num>
  <w:num w:numId="7">
    <w:abstractNumId w:val="19"/>
  </w:num>
  <w:num w:numId="8">
    <w:abstractNumId w:val="6"/>
  </w:num>
  <w:num w:numId="9">
    <w:abstractNumId w:val="4"/>
  </w:num>
  <w:num w:numId="10">
    <w:abstractNumId w:val="21"/>
  </w:num>
  <w:num w:numId="11">
    <w:abstractNumId w:val="18"/>
  </w:num>
  <w:num w:numId="12">
    <w:abstractNumId w:val="25"/>
  </w:num>
  <w:num w:numId="13">
    <w:abstractNumId w:val="10"/>
  </w:num>
  <w:num w:numId="14">
    <w:abstractNumId w:val="36"/>
  </w:num>
  <w:num w:numId="15">
    <w:abstractNumId w:val="38"/>
  </w:num>
  <w:num w:numId="16">
    <w:abstractNumId w:val="37"/>
  </w:num>
  <w:num w:numId="17">
    <w:abstractNumId w:val="34"/>
  </w:num>
  <w:num w:numId="18">
    <w:abstractNumId w:val="35"/>
  </w:num>
  <w:num w:numId="19">
    <w:abstractNumId w:val="22"/>
  </w:num>
  <w:num w:numId="20">
    <w:abstractNumId w:val="28"/>
  </w:num>
  <w:num w:numId="21">
    <w:abstractNumId w:val="12"/>
  </w:num>
  <w:num w:numId="22">
    <w:abstractNumId w:val="24"/>
  </w:num>
  <w:num w:numId="23">
    <w:abstractNumId w:val="26"/>
  </w:num>
  <w:num w:numId="24">
    <w:abstractNumId w:val="16"/>
  </w:num>
  <w:num w:numId="25">
    <w:abstractNumId w:val="5"/>
  </w:num>
  <w:num w:numId="26">
    <w:abstractNumId w:val="0"/>
  </w:num>
  <w:num w:numId="27">
    <w:abstractNumId w:val="20"/>
  </w:num>
  <w:num w:numId="28">
    <w:abstractNumId w:val="30"/>
  </w:num>
  <w:num w:numId="29">
    <w:abstractNumId w:val="33"/>
  </w:num>
  <w:num w:numId="30">
    <w:abstractNumId w:val="7"/>
  </w:num>
  <w:num w:numId="31">
    <w:abstractNumId w:val="23"/>
  </w:num>
  <w:num w:numId="32">
    <w:abstractNumId w:val="9"/>
  </w:num>
  <w:num w:numId="33">
    <w:abstractNumId w:val="39"/>
  </w:num>
  <w:num w:numId="34">
    <w:abstractNumId w:val="14"/>
  </w:num>
  <w:num w:numId="35">
    <w:abstractNumId w:val="13"/>
  </w:num>
  <w:num w:numId="36">
    <w:abstractNumId w:val="8"/>
  </w:num>
  <w:num w:numId="37">
    <w:abstractNumId w:val="15"/>
  </w:num>
  <w:num w:numId="38">
    <w:abstractNumId w:val="3"/>
  </w:num>
  <w:num w:numId="39">
    <w:abstractNumId w:val="17"/>
  </w:num>
  <w:num w:numId="40">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90"/>
    <w:rsid w:val="00001560"/>
    <w:rsid w:val="00002CB8"/>
    <w:rsid w:val="00007602"/>
    <w:rsid w:val="00013DE3"/>
    <w:rsid w:val="00014390"/>
    <w:rsid w:val="0001505E"/>
    <w:rsid w:val="00020207"/>
    <w:rsid w:val="00024137"/>
    <w:rsid w:val="00026F92"/>
    <w:rsid w:val="00027B55"/>
    <w:rsid w:val="000316BB"/>
    <w:rsid w:val="0004353D"/>
    <w:rsid w:val="000443CE"/>
    <w:rsid w:val="00047810"/>
    <w:rsid w:val="000479BA"/>
    <w:rsid w:val="00051AC9"/>
    <w:rsid w:val="000549BA"/>
    <w:rsid w:val="00056526"/>
    <w:rsid w:val="00060E23"/>
    <w:rsid w:val="0006103B"/>
    <w:rsid w:val="0006105B"/>
    <w:rsid w:val="00062F82"/>
    <w:rsid w:val="00066F9C"/>
    <w:rsid w:val="000734BB"/>
    <w:rsid w:val="00074B84"/>
    <w:rsid w:val="00077481"/>
    <w:rsid w:val="00082A0A"/>
    <w:rsid w:val="000865C5"/>
    <w:rsid w:val="000876F9"/>
    <w:rsid w:val="00091165"/>
    <w:rsid w:val="00091C42"/>
    <w:rsid w:val="000937DB"/>
    <w:rsid w:val="00093978"/>
    <w:rsid w:val="0009464E"/>
    <w:rsid w:val="000A2662"/>
    <w:rsid w:val="000A48EC"/>
    <w:rsid w:val="000A5869"/>
    <w:rsid w:val="000A7489"/>
    <w:rsid w:val="000B0F40"/>
    <w:rsid w:val="000B181E"/>
    <w:rsid w:val="000B3ED7"/>
    <w:rsid w:val="000B43F6"/>
    <w:rsid w:val="000C35C1"/>
    <w:rsid w:val="000C4EE9"/>
    <w:rsid w:val="000C56B8"/>
    <w:rsid w:val="000C77CD"/>
    <w:rsid w:val="000D0630"/>
    <w:rsid w:val="000D0F4F"/>
    <w:rsid w:val="000D2243"/>
    <w:rsid w:val="000D38ED"/>
    <w:rsid w:val="000D7023"/>
    <w:rsid w:val="000D7F04"/>
    <w:rsid w:val="000E0CAE"/>
    <w:rsid w:val="000E1795"/>
    <w:rsid w:val="000E567B"/>
    <w:rsid w:val="000E5701"/>
    <w:rsid w:val="000E67AA"/>
    <w:rsid w:val="000E6C26"/>
    <w:rsid w:val="000F08BA"/>
    <w:rsid w:val="000F1AE9"/>
    <w:rsid w:val="000F41C4"/>
    <w:rsid w:val="000F4C45"/>
    <w:rsid w:val="000F4D02"/>
    <w:rsid w:val="000F63BE"/>
    <w:rsid w:val="00100E22"/>
    <w:rsid w:val="0010183B"/>
    <w:rsid w:val="00106F17"/>
    <w:rsid w:val="0011167E"/>
    <w:rsid w:val="0011202B"/>
    <w:rsid w:val="00115C29"/>
    <w:rsid w:val="00116653"/>
    <w:rsid w:val="00121260"/>
    <w:rsid w:val="00121DC8"/>
    <w:rsid w:val="00125214"/>
    <w:rsid w:val="00125AFA"/>
    <w:rsid w:val="00125C53"/>
    <w:rsid w:val="00126A62"/>
    <w:rsid w:val="001314EF"/>
    <w:rsid w:val="001318EB"/>
    <w:rsid w:val="001328A3"/>
    <w:rsid w:val="0013301F"/>
    <w:rsid w:val="00133FD0"/>
    <w:rsid w:val="001374BB"/>
    <w:rsid w:val="001377C0"/>
    <w:rsid w:val="00141423"/>
    <w:rsid w:val="00141B0E"/>
    <w:rsid w:val="001445B3"/>
    <w:rsid w:val="001447D6"/>
    <w:rsid w:val="00150C08"/>
    <w:rsid w:val="00153576"/>
    <w:rsid w:val="00161E86"/>
    <w:rsid w:val="00164457"/>
    <w:rsid w:val="00164AB5"/>
    <w:rsid w:val="00165485"/>
    <w:rsid w:val="00170C15"/>
    <w:rsid w:val="00172DC7"/>
    <w:rsid w:val="0018110A"/>
    <w:rsid w:val="001824BE"/>
    <w:rsid w:val="00182F4A"/>
    <w:rsid w:val="00184FDF"/>
    <w:rsid w:val="00185FC6"/>
    <w:rsid w:val="0019230F"/>
    <w:rsid w:val="001A0664"/>
    <w:rsid w:val="001A2000"/>
    <w:rsid w:val="001A633F"/>
    <w:rsid w:val="001A713D"/>
    <w:rsid w:val="001B1A48"/>
    <w:rsid w:val="001B6C26"/>
    <w:rsid w:val="001C2F11"/>
    <w:rsid w:val="001C40DC"/>
    <w:rsid w:val="001C5783"/>
    <w:rsid w:val="001C6EEB"/>
    <w:rsid w:val="001D31B2"/>
    <w:rsid w:val="001D3479"/>
    <w:rsid w:val="001D4773"/>
    <w:rsid w:val="001D58C1"/>
    <w:rsid w:val="001D6708"/>
    <w:rsid w:val="001E22F3"/>
    <w:rsid w:val="001F0A1F"/>
    <w:rsid w:val="001F1D18"/>
    <w:rsid w:val="001F453B"/>
    <w:rsid w:val="001F6F05"/>
    <w:rsid w:val="002018F1"/>
    <w:rsid w:val="002031AF"/>
    <w:rsid w:val="00206A9E"/>
    <w:rsid w:val="00211F98"/>
    <w:rsid w:val="00222269"/>
    <w:rsid w:val="002239AF"/>
    <w:rsid w:val="00225B6F"/>
    <w:rsid w:val="0023054F"/>
    <w:rsid w:val="002335CD"/>
    <w:rsid w:val="002340B3"/>
    <w:rsid w:val="0023587D"/>
    <w:rsid w:val="002437A7"/>
    <w:rsid w:val="00244F48"/>
    <w:rsid w:val="00244FE0"/>
    <w:rsid w:val="00245FBA"/>
    <w:rsid w:val="002476BA"/>
    <w:rsid w:val="00251C45"/>
    <w:rsid w:val="0026302A"/>
    <w:rsid w:val="002653E4"/>
    <w:rsid w:val="002665F6"/>
    <w:rsid w:val="0026721C"/>
    <w:rsid w:val="00271D33"/>
    <w:rsid w:val="00280DC5"/>
    <w:rsid w:val="00293008"/>
    <w:rsid w:val="002938AC"/>
    <w:rsid w:val="002942A4"/>
    <w:rsid w:val="00296CE8"/>
    <w:rsid w:val="002A1014"/>
    <w:rsid w:val="002A62F3"/>
    <w:rsid w:val="002A690F"/>
    <w:rsid w:val="002A7404"/>
    <w:rsid w:val="002A7737"/>
    <w:rsid w:val="002B517C"/>
    <w:rsid w:val="002C1544"/>
    <w:rsid w:val="002C24F4"/>
    <w:rsid w:val="002C28AB"/>
    <w:rsid w:val="002C4F9A"/>
    <w:rsid w:val="002C5252"/>
    <w:rsid w:val="002C59DD"/>
    <w:rsid w:val="002C6B36"/>
    <w:rsid w:val="002D1511"/>
    <w:rsid w:val="002E0143"/>
    <w:rsid w:val="002E1F4B"/>
    <w:rsid w:val="002E3720"/>
    <w:rsid w:val="002E4D68"/>
    <w:rsid w:val="002E777F"/>
    <w:rsid w:val="002F1016"/>
    <w:rsid w:val="002F179F"/>
    <w:rsid w:val="002F239F"/>
    <w:rsid w:val="002F27EE"/>
    <w:rsid w:val="002F63DD"/>
    <w:rsid w:val="002F64BF"/>
    <w:rsid w:val="002F7524"/>
    <w:rsid w:val="00302F49"/>
    <w:rsid w:val="00305561"/>
    <w:rsid w:val="003077C8"/>
    <w:rsid w:val="0031192C"/>
    <w:rsid w:val="00312E2B"/>
    <w:rsid w:val="003218DE"/>
    <w:rsid w:val="003221C5"/>
    <w:rsid w:val="00327E35"/>
    <w:rsid w:val="00334D0D"/>
    <w:rsid w:val="0033685C"/>
    <w:rsid w:val="00340173"/>
    <w:rsid w:val="0034167D"/>
    <w:rsid w:val="00341B5F"/>
    <w:rsid w:val="00344748"/>
    <w:rsid w:val="00345540"/>
    <w:rsid w:val="00345B88"/>
    <w:rsid w:val="003503C8"/>
    <w:rsid w:val="00351FDA"/>
    <w:rsid w:val="00354678"/>
    <w:rsid w:val="00356B12"/>
    <w:rsid w:val="00366BF9"/>
    <w:rsid w:val="003715BF"/>
    <w:rsid w:val="003765AD"/>
    <w:rsid w:val="003775C8"/>
    <w:rsid w:val="00387ED2"/>
    <w:rsid w:val="00392C20"/>
    <w:rsid w:val="00393621"/>
    <w:rsid w:val="00397319"/>
    <w:rsid w:val="00397664"/>
    <w:rsid w:val="003A2384"/>
    <w:rsid w:val="003A6AA0"/>
    <w:rsid w:val="003A7B0A"/>
    <w:rsid w:val="003B14A5"/>
    <w:rsid w:val="003B1607"/>
    <w:rsid w:val="003B2666"/>
    <w:rsid w:val="003B2B54"/>
    <w:rsid w:val="003B4A5E"/>
    <w:rsid w:val="003B6242"/>
    <w:rsid w:val="003C1C69"/>
    <w:rsid w:val="003C6454"/>
    <w:rsid w:val="003D1B02"/>
    <w:rsid w:val="003D1FDE"/>
    <w:rsid w:val="003D2855"/>
    <w:rsid w:val="003D420F"/>
    <w:rsid w:val="003D7070"/>
    <w:rsid w:val="003E1D5B"/>
    <w:rsid w:val="003E6457"/>
    <w:rsid w:val="003F0C28"/>
    <w:rsid w:val="00403D7C"/>
    <w:rsid w:val="00404280"/>
    <w:rsid w:val="004060EC"/>
    <w:rsid w:val="004061B1"/>
    <w:rsid w:val="00410722"/>
    <w:rsid w:val="00410A8F"/>
    <w:rsid w:val="00411DCA"/>
    <w:rsid w:val="00412870"/>
    <w:rsid w:val="00416B4F"/>
    <w:rsid w:val="004211CF"/>
    <w:rsid w:val="004256DD"/>
    <w:rsid w:val="004263F0"/>
    <w:rsid w:val="00427BB5"/>
    <w:rsid w:val="0043200C"/>
    <w:rsid w:val="00433EF8"/>
    <w:rsid w:val="00436D4B"/>
    <w:rsid w:val="00441A8D"/>
    <w:rsid w:val="004463EF"/>
    <w:rsid w:val="00450D59"/>
    <w:rsid w:val="00455E9A"/>
    <w:rsid w:val="00457949"/>
    <w:rsid w:val="00460FD1"/>
    <w:rsid w:val="00462DC5"/>
    <w:rsid w:val="00462DE7"/>
    <w:rsid w:val="004653C9"/>
    <w:rsid w:val="00466E44"/>
    <w:rsid w:val="00472E98"/>
    <w:rsid w:val="00474642"/>
    <w:rsid w:val="004750E1"/>
    <w:rsid w:val="00477F43"/>
    <w:rsid w:val="00484C5D"/>
    <w:rsid w:val="004871FB"/>
    <w:rsid w:val="00492D5E"/>
    <w:rsid w:val="004939F6"/>
    <w:rsid w:val="00497AAC"/>
    <w:rsid w:val="004A0C0F"/>
    <w:rsid w:val="004A10BB"/>
    <w:rsid w:val="004A14BB"/>
    <w:rsid w:val="004A3615"/>
    <w:rsid w:val="004A617D"/>
    <w:rsid w:val="004A6FA9"/>
    <w:rsid w:val="004A743C"/>
    <w:rsid w:val="004B00B4"/>
    <w:rsid w:val="004B07A6"/>
    <w:rsid w:val="004B2A38"/>
    <w:rsid w:val="004B2D5E"/>
    <w:rsid w:val="004B2D6B"/>
    <w:rsid w:val="004B71F6"/>
    <w:rsid w:val="004C3053"/>
    <w:rsid w:val="004C4F4A"/>
    <w:rsid w:val="004D0550"/>
    <w:rsid w:val="004D0856"/>
    <w:rsid w:val="004D1C51"/>
    <w:rsid w:val="004D49DE"/>
    <w:rsid w:val="004D5218"/>
    <w:rsid w:val="004E1AAB"/>
    <w:rsid w:val="004E2770"/>
    <w:rsid w:val="004E664D"/>
    <w:rsid w:val="004F01C5"/>
    <w:rsid w:val="004F16E0"/>
    <w:rsid w:val="004F1989"/>
    <w:rsid w:val="004F6842"/>
    <w:rsid w:val="0050028D"/>
    <w:rsid w:val="005058AC"/>
    <w:rsid w:val="005071EF"/>
    <w:rsid w:val="005141C1"/>
    <w:rsid w:val="005231FF"/>
    <w:rsid w:val="00525903"/>
    <w:rsid w:val="00526055"/>
    <w:rsid w:val="00526B67"/>
    <w:rsid w:val="00527A3E"/>
    <w:rsid w:val="00530BCB"/>
    <w:rsid w:val="005315DF"/>
    <w:rsid w:val="0053340B"/>
    <w:rsid w:val="00535055"/>
    <w:rsid w:val="00535DDF"/>
    <w:rsid w:val="00536559"/>
    <w:rsid w:val="00540129"/>
    <w:rsid w:val="00540956"/>
    <w:rsid w:val="0054125A"/>
    <w:rsid w:val="00544312"/>
    <w:rsid w:val="005443D9"/>
    <w:rsid w:val="00544992"/>
    <w:rsid w:val="005455D8"/>
    <w:rsid w:val="00545B91"/>
    <w:rsid w:val="00545C12"/>
    <w:rsid w:val="005522B0"/>
    <w:rsid w:val="005566AE"/>
    <w:rsid w:val="00557EE7"/>
    <w:rsid w:val="0057341D"/>
    <w:rsid w:val="005736D7"/>
    <w:rsid w:val="0057487A"/>
    <w:rsid w:val="00577893"/>
    <w:rsid w:val="00581ADB"/>
    <w:rsid w:val="00582375"/>
    <w:rsid w:val="005860A9"/>
    <w:rsid w:val="00587D85"/>
    <w:rsid w:val="0059145D"/>
    <w:rsid w:val="00594460"/>
    <w:rsid w:val="00594890"/>
    <w:rsid w:val="005A1AAA"/>
    <w:rsid w:val="005A307D"/>
    <w:rsid w:val="005A5A84"/>
    <w:rsid w:val="005A5FD6"/>
    <w:rsid w:val="005B0770"/>
    <w:rsid w:val="005B0B0A"/>
    <w:rsid w:val="005B0BE1"/>
    <w:rsid w:val="005B10DF"/>
    <w:rsid w:val="005B1A01"/>
    <w:rsid w:val="005B3857"/>
    <w:rsid w:val="005B42C8"/>
    <w:rsid w:val="005B5451"/>
    <w:rsid w:val="005B5F27"/>
    <w:rsid w:val="005B69AE"/>
    <w:rsid w:val="005C2FEC"/>
    <w:rsid w:val="005C3365"/>
    <w:rsid w:val="005C388D"/>
    <w:rsid w:val="005C4773"/>
    <w:rsid w:val="005C48C6"/>
    <w:rsid w:val="005C68FC"/>
    <w:rsid w:val="005C6FA7"/>
    <w:rsid w:val="005C7AE3"/>
    <w:rsid w:val="005D0882"/>
    <w:rsid w:val="005D1F9B"/>
    <w:rsid w:val="005D64C3"/>
    <w:rsid w:val="005E0729"/>
    <w:rsid w:val="005E0F84"/>
    <w:rsid w:val="005E5487"/>
    <w:rsid w:val="005E6EA9"/>
    <w:rsid w:val="005F4534"/>
    <w:rsid w:val="006030BF"/>
    <w:rsid w:val="006059FC"/>
    <w:rsid w:val="00605FD4"/>
    <w:rsid w:val="00605FE8"/>
    <w:rsid w:val="00607FEA"/>
    <w:rsid w:val="00610F71"/>
    <w:rsid w:val="006127A5"/>
    <w:rsid w:val="006140D6"/>
    <w:rsid w:val="00616E0B"/>
    <w:rsid w:val="0062271D"/>
    <w:rsid w:val="00623FEF"/>
    <w:rsid w:val="00625EC7"/>
    <w:rsid w:val="00626FDB"/>
    <w:rsid w:val="0062721D"/>
    <w:rsid w:val="00635ADD"/>
    <w:rsid w:val="00637544"/>
    <w:rsid w:val="00637805"/>
    <w:rsid w:val="00640043"/>
    <w:rsid w:val="00641786"/>
    <w:rsid w:val="00643A6D"/>
    <w:rsid w:val="00644BFD"/>
    <w:rsid w:val="00646774"/>
    <w:rsid w:val="0064737B"/>
    <w:rsid w:val="006521FE"/>
    <w:rsid w:val="00653800"/>
    <w:rsid w:val="0065412F"/>
    <w:rsid w:val="006544E9"/>
    <w:rsid w:val="00660BB9"/>
    <w:rsid w:val="00672D35"/>
    <w:rsid w:val="00672FB1"/>
    <w:rsid w:val="00675455"/>
    <w:rsid w:val="00677A08"/>
    <w:rsid w:val="00677B38"/>
    <w:rsid w:val="00677E13"/>
    <w:rsid w:val="00686F6B"/>
    <w:rsid w:val="00693715"/>
    <w:rsid w:val="00694561"/>
    <w:rsid w:val="00696BB7"/>
    <w:rsid w:val="00696BEA"/>
    <w:rsid w:val="006A4D78"/>
    <w:rsid w:val="006A6A8D"/>
    <w:rsid w:val="006A728B"/>
    <w:rsid w:val="006B4C0D"/>
    <w:rsid w:val="006B6A30"/>
    <w:rsid w:val="006B7C57"/>
    <w:rsid w:val="006C0FBD"/>
    <w:rsid w:val="006C67D8"/>
    <w:rsid w:val="006C6C31"/>
    <w:rsid w:val="006C7DC9"/>
    <w:rsid w:val="006D0457"/>
    <w:rsid w:val="006D3F79"/>
    <w:rsid w:val="006D673A"/>
    <w:rsid w:val="006D6CBE"/>
    <w:rsid w:val="006D7902"/>
    <w:rsid w:val="006D7954"/>
    <w:rsid w:val="006E0BE7"/>
    <w:rsid w:val="006E185D"/>
    <w:rsid w:val="006E302A"/>
    <w:rsid w:val="006E5AE0"/>
    <w:rsid w:val="006F2F39"/>
    <w:rsid w:val="006F3A3D"/>
    <w:rsid w:val="006F4CEC"/>
    <w:rsid w:val="006F6C8B"/>
    <w:rsid w:val="006F6F23"/>
    <w:rsid w:val="006F7863"/>
    <w:rsid w:val="006F78BD"/>
    <w:rsid w:val="00701927"/>
    <w:rsid w:val="00702D2B"/>
    <w:rsid w:val="00703FA6"/>
    <w:rsid w:val="00704652"/>
    <w:rsid w:val="007061D2"/>
    <w:rsid w:val="00706E9C"/>
    <w:rsid w:val="00710040"/>
    <w:rsid w:val="0071137E"/>
    <w:rsid w:val="00712E22"/>
    <w:rsid w:val="00714390"/>
    <w:rsid w:val="007162B8"/>
    <w:rsid w:val="007213A6"/>
    <w:rsid w:val="007218EE"/>
    <w:rsid w:val="00722B3F"/>
    <w:rsid w:val="00723124"/>
    <w:rsid w:val="0072444A"/>
    <w:rsid w:val="007339FD"/>
    <w:rsid w:val="0073563A"/>
    <w:rsid w:val="00736706"/>
    <w:rsid w:val="00744B02"/>
    <w:rsid w:val="007462D5"/>
    <w:rsid w:val="0074705C"/>
    <w:rsid w:val="00750EC9"/>
    <w:rsid w:val="00753EFB"/>
    <w:rsid w:val="007625E7"/>
    <w:rsid w:val="0076309F"/>
    <w:rsid w:val="00764446"/>
    <w:rsid w:val="007757F9"/>
    <w:rsid w:val="00781EAF"/>
    <w:rsid w:val="00783029"/>
    <w:rsid w:val="00783CAF"/>
    <w:rsid w:val="0078418A"/>
    <w:rsid w:val="007843D5"/>
    <w:rsid w:val="007843F2"/>
    <w:rsid w:val="0078498F"/>
    <w:rsid w:val="00786673"/>
    <w:rsid w:val="0079203E"/>
    <w:rsid w:val="00792A4F"/>
    <w:rsid w:val="00793D09"/>
    <w:rsid w:val="007A285A"/>
    <w:rsid w:val="007A47ED"/>
    <w:rsid w:val="007A5F4D"/>
    <w:rsid w:val="007A7143"/>
    <w:rsid w:val="007B1BB1"/>
    <w:rsid w:val="007C0393"/>
    <w:rsid w:val="007C075C"/>
    <w:rsid w:val="007C34D4"/>
    <w:rsid w:val="007C5E17"/>
    <w:rsid w:val="007C5E7E"/>
    <w:rsid w:val="007C7F8B"/>
    <w:rsid w:val="007D0A59"/>
    <w:rsid w:val="007D21EC"/>
    <w:rsid w:val="007D3626"/>
    <w:rsid w:val="007D3A5A"/>
    <w:rsid w:val="007D4589"/>
    <w:rsid w:val="007D5389"/>
    <w:rsid w:val="007E2A02"/>
    <w:rsid w:val="007E2C2D"/>
    <w:rsid w:val="007F0F4E"/>
    <w:rsid w:val="007F4D35"/>
    <w:rsid w:val="007F591F"/>
    <w:rsid w:val="007F7157"/>
    <w:rsid w:val="008011CB"/>
    <w:rsid w:val="00802893"/>
    <w:rsid w:val="00803D99"/>
    <w:rsid w:val="00807FF2"/>
    <w:rsid w:val="008133E2"/>
    <w:rsid w:val="00816627"/>
    <w:rsid w:val="00816860"/>
    <w:rsid w:val="00820246"/>
    <w:rsid w:val="0082685A"/>
    <w:rsid w:val="00827584"/>
    <w:rsid w:val="00832CEA"/>
    <w:rsid w:val="00832D18"/>
    <w:rsid w:val="00843D2F"/>
    <w:rsid w:val="00844EE9"/>
    <w:rsid w:val="00845235"/>
    <w:rsid w:val="0084592F"/>
    <w:rsid w:val="00845FBA"/>
    <w:rsid w:val="00852B3A"/>
    <w:rsid w:val="00853465"/>
    <w:rsid w:val="00855DC1"/>
    <w:rsid w:val="00855FE7"/>
    <w:rsid w:val="0085622D"/>
    <w:rsid w:val="008646AA"/>
    <w:rsid w:val="00864AA0"/>
    <w:rsid w:val="00865ABD"/>
    <w:rsid w:val="0087758C"/>
    <w:rsid w:val="00877D0B"/>
    <w:rsid w:val="00881742"/>
    <w:rsid w:val="00884E12"/>
    <w:rsid w:val="008852D3"/>
    <w:rsid w:val="00890EC0"/>
    <w:rsid w:val="008910A1"/>
    <w:rsid w:val="00891B7E"/>
    <w:rsid w:val="008944DE"/>
    <w:rsid w:val="0089466B"/>
    <w:rsid w:val="00896EB5"/>
    <w:rsid w:val="00897E5D"/>
    <w:rsid w:val="008A0037"/>
    <w:rsid w:val="008A0334"/>
    <w:rsid w:val="008A17E4"/>
    <w:rsid w:val="008A3267"/>
    <w:rsid w:val="008A4044"/>
    <w:rsid w:val="008A5AA1"/>
    <w:rsid w:val="008A5FB3"/>
    <w:rsid w:val="008B170D"/>
    <w:rsid w:val="008B2905"/>
    <w:rsid w:val="008B412C"/>
    <w:rsid w:val="008B428A"/>
    <w:rsid w:val="008B446A"/>
    <w:rsid w:val="008D093F"/>
    <w:rsid w:val="008D108D"/>
    <w:rsid w:val="008E0C1B"/>
    <w:rsid w:val="008E20AE"/>
    <w:rsid w:val="008E74FA"/>
    <w:rsid w:val="008F5312"/>
    <w:rsid w:val="0090059D"/>
    <w:rsid w:val="0090589D"/>
    <w:rsid w:val="009068BD"/>
    <w:rsid w:val="009105AE"/>
    <w:rsid w:val="00915509"/>
    <w:rsid w:val="0091553A"/>
    <w:rsid w:val="0092715B"/>
    <w:rsid w:val="00931066"/>
    <w:rsid w:val="00932519"/>
    <w:rsid w:val="00932BF3"/>
    <w:rsid w:val="009353BE"/>
    <w:rsid w:val="0093568C"/>
    <w:rsid w:val="009420D1"/>
    <w:rsid w:val="00956E9B"/>
    <w:rsid w:val="009579D8"/>
    <w:rsid w:val="00957B79"/>
    <w:rsid w:val="00957BAB"/>
    <w:rsid w:val="00961584"/>
    <w:rsid w:val="00961872"/>
    <w:rsid w:val="00962E5C"/>
    <w:rsid w:val="00963C96"/>
    <w:rsid w:val="009661B7"/>
    <w:rsid w:val="00973B9C"/>
    <w:rsid w:val="00976618"/>
    <w:rsid w:val="0098040A"/>
    <w:rsid w:val="0098098B"/>
    <w:rsid w:val="00985E8C"/>
    <w:rsid w:val="00987F7F"/>
    <w:rsid w:val="00990CAA"/>
    <w:rsid w:val="009910D0"/>
    <w:rsid w:val="00992A6D"/>
    <w:rsid w:val="00993C9E"/>
    <w:rsid w:val="0099684D"/>
    <w:rsid w:val="00997C9B"/>
    <w:rsid w:val="009A1A8A"/>
    <w:rsid w:val="009C055D"/>
    <w:rsid w:val="009C3E96"/>
    <w:rsid w:val="009C7574"/>
    <w:rsid w:val="009C7D96"/>
    <w:rsid w:val="009D087F"/>
    <w:rsid w:val="009D151F"/>
    <w:rsid w:val="009D288D"/>
    <w:rsid w:val="009D404F"/>
    <w:rsid w:val="009D4C45"/>
    <w:rsid w:val="009E0A1D"/>
    <w:rsid w:val="009E541D"/>
    <w:rsid w:val="009E5C7D"/>
    <w:rsid w:val="009F0399"/>
    <w:rsid w:val="009F22DD"/>
    <w:rsid w:val="009F41AD"/>
    <w:rsid w:val="009F731D"/>
    <w:rsid w:val="00A10876"/>
    <w:rsid w:val="00A137EC"/>
    <w:rsid w:val="00A2132B"/>
    <w:rsid w:val="00A238C7"/>
    <w:rsid w:val="00A23984"/>
    <w:rsid w:val="00A25EA1"/>
    <w:rsid w:val="00A279B1"/>
    <w:rsid w:val="00A27D2E"/>
    <w:rsid w:val="00A35BC1"/>
    <w:rsid w:val="00A3760A"/>
    <w:rsid w:val="00A37F3B"/>
    <w:rsid w:val="00A40292"/>
    <w:rsid w:val="00A4234C"/>
    <w:rsid w:val="00A425DA"/>
    <w:rsid w:val="00A44C57"/>
    <w:rsid w:val="00A456C8"/>
    <w:rsid w:val="00A47B65"/>
    <w:rsid w:val="00A54942"/>
    <w:rsid w:val="00A615E7"/>
    <w:rsid w:val="00A7082D"/>
    <w:rsid w:val="00A725DA"/>
    <w:rsid w:val="00A7604D"/>
    <w:rsid w:val="00A84BCF"/>
    <w:rsid w:val="00A93EE2"/>
    <w:rsid w:val="00AB0137"/>
    <w:rsid w:val="00AB0A7B"/>
    <w:rsid w:val="00AB2042"/>
    <w:rsid w:val="00AB2811"/>
    <w:rsid w:val="00AB4AD6"/>
    <w:rsid w:val="00AB51C2"/>
    <w:rsid w:val="00AB602F"/>
    <w:rsid w:val="00AC0591"/>
    <w:rsid w:val="00AC1B3C"/>
    <w:rsid w:val="00AC29F4"/>
    <w:rsid w:val="00AC40E4"/>
    <w:rsid w:val="00AD1D28"/>
    <w:rsid w:val="00AD2FB0"/>
    <w:rsid w:val="00AD6B9E"/>
    <w:rsid w:val="00AE44B2"/>
    <w:rsid w:val="00AE4C90"/>
    <w:rsid w:val="00AE523B"/>
    <w:rsid w:val="00AF210C"/>
    <w:rsid w:val="00AF3197"/>
    <w:rsid w:val="00B037EB"/>
    <w:rsid w:val="00B04FE2"/>
    <w:rsid w:val="00B05BAC"/>
    <w:rsid w:val="00B0794A"/>
    <w:rsid w:val="00B10829"/>
    <w:rsid w:val="00B1376D"/>
    <w:rsid w:val="00B15394"/>
    <w:rsid w:val="00B2183F"/>
    <w:rsid w:val="00B272AD"/>
    <w:rsid w:val="00B318C7"/>
    <w:rsid w:val="00B36DE3"/>
    <w:rsid w:val="00B3750A"/>
    <w:rsid w:val="00B40CC2"/>
    <w:rsid w:val="00B413B0"/>
    <w:rsid w:val="00B4297F"/>
    <w:rsid w:val="00B44268"/>
    <w:rsid w:val="00B44405"/>
    <w:rsid w:val="00B45A8F"/>
    <w:rsid w:val="00B51F76"/>
    <w:rsid w:val="00B546AE"/>
    <w:rsid w:val="00B568F6"/>
    <w:rsid w:val="00B619BC"/>
    <w:rsid w:val="00B631BD"/>
    <w:rsid w:val="00B63337"/>
    <w:rsid w:val="00B647AA"/>
    <w:rsid w:val="00B6690F"/>
    <w:rsid w:val="00B67327"/>
    <w:rsid w:val="00B712DF"/>
    <w:rsid w:val="00B74177"/>
    <w:rsid w:val="00B748B6"/>
    <w:rsid w:val="00B75C56"/>
    <w:rsid w:val="00B81442"/>
    <w:rsid w:val="00B82C5E"/>
    <w:rsid w:val="00B849D8"/>
    <w:rsid w:val="00B860B7"/>
    <w:rsid w:val="00B87EE8"/>
    <w:rsid w:val="00B975CF"/>
    <w:rsid w:val="00BA4EE8"/>
    <w:rsid w:val="00BA7515"/>
    <w:rsid w:val="00BB278B"/>
    <w:rsid w:val="00BB2A6D"/>
    <w:rsid w:val="00BB2D89"/>
    <w:rsid w:val="00BB3400"/>
    <w:rsid w:val="00BB74ED"/>
    <w:rsid w:val="00BB7BA8"/>
    <w:rsid w:val="00BC0313"/>
    <w:rsid w:val="00BC0F87"/>
    <w:rsid w:val="00BC58EE"/>
    <w:rsid w:val="00BC64E6"/>
    <w:rsid w:val="00BC6AB8"/>
    <w:rsid w:val="00BD080A"/>
    <w:rsid w:val="00BD2B7F"/>
    <w:rsid w:val="00BD3F09"/>
    <w:rsid w:val="00BD426D"/>
    <w:rsid w:val="00BD4357"/>
    <w:rsid w:val="00BE08A6"/>
    <w:rsid w:val="00BE28F2"/>
    <w:rsid w:val="00BE2948"/>
    <w:rsid w:val="00BE3332"/>
    <w:rsid w:val="00BE33FE"/>
    <w:rsid w:val="00BE6654"/>
    <w:rsid w:val="00BE768B"/>
    <w:rsid w:val="00BF770C"/>
    <w:rsid w:val="00C000F7"/>
    <w:rsid w:val="00C00E96"/>
    <w:rsid w:val="00C0209B"/>
    <w:rsid w:val="00C05382"/>
    <w:rsid w:val="00C05B1F"/>
    <w:rsid w:val="00C07076"/>
    <w:rsid w:val="00C07634"/>
    <w:rsid w:val="00C1189D"/>
    <w:rsid w:val="00C15197"/>
    <w:rsid w:val="00C17B21"/>
    <w:rsid w:val="00C20389"/>
    <w:rsid w:val="00C22269"/>
    <w:rsid w:val="00C30A69"/>
    <w:rsid w:val="00C30CE7"/>
    <w:rsid w:val="00C34DFE"/>
    <w:rsid w:val="00C410BD"/>
    <w:rsid w:val="00C4128E"/>
    <w:rsid w:val="00C41E9C"/>
    <w:rsid w:val="00C4271B"/>
    <w:rsid w:val="00C42CF6"/>
    <w:rsid w:val="00C43F2C"/>
    <w:rsid w:val="00C44420"/>
    <w:rsid w:val="00C45A89"/>
    <w:rsid w:val="00C45FC2"/>
    <w:rsid w:val="00C47DE6"/>
    <w:rsid w:val="00C51E42"/>
    <w:rsid w:val="00C53870"/>
    <w:rsid w:val="00C540E5"/>
    <w:rsid w:val="00C60EB9"/>
    <w:rsid w:val="00C619D9"/>
    <w:rsid w:val="00C61AAC"/>
    <w:rsid w:val="00C64BD4"/>
    <w:rsid w:val="00C6712A"/>
    <w:rsid w:val="00C67CBD"/>
    <w:rsid w:val="00C70EBF"/>
    <w:rsid w:val="00C71CC7"/>
    <w:rsid w:val="00C8243E"/>
    <w:rsid w:val="00C91B87"/>
    <w:rsid w:val="00C91EE3"/>
    <w:rsid w:val="00C9228D"/>
    <w:rsid w:val="00C93B32"/>
    <w:rsid w:val="00C93CE1"/>
    <w:rsid w:val="00C955F3"/>
    <w:rsid w:val="00CA07A6"/>
    <w:rsid w:val="00CA171A"/>
    <w:rsid w:val="00CA1962"/>
    <w:rsid w:val="00CA1AA4"/>
    <w:rsid w:val="00CA270C"/>
    <w:rsid w:val="00CA4AE3"/>
    <w:rsid w:val="00CA530E"/>
    <w:rsid w:val="00CA534E"/>
    <w:rsid w:val="00CA6E65"/>
    <w:rsid w:val="00CA7ABD"/>
    <w:rsid w:val="00CA7BAE"/>
    <w:rsid w:val="00CB3B65"/>
    <w:rsid w:val="00CB736C"/>
    <w:rsid w:val="00CB74C3"/>
    <w:rsid w:val="00CC075C"/>
    <w:rsid w:val="00CC425C"/>
    <w:rsid w:val="00CC6790"/>
    <w:rsid w:val="00CC6A94"/>
    <w:rsid w:val="00CD1AD4"/>
    <w:rsid w:val="00CD3A21"/>
    <w:rsid w:val="00CD5484"/>
    <w:rsid w:val="00CD5F59"/>
    <w:rsid w:val="00CD7AE2"/>
    <w:rsid w:val="00CE7B49"/>
    <w:rsid w:val="00CF2EC0"/>
    <w:rsid w:val="00CF38DA"/>
    <w:rsid w:val="00CF3B8D"/>
    <w:rsid w:val="00CF421E"/>
    <w:rsid w:val="00CF4708"/>
    <w:rsid w:val="00CF7733"/>
    <w:rsid w:val="00D00F7A"/>
    <w:rsid w:val="00D01E5F"/>
    <w:rsid w:val="00D03E55"/>
    <w:rsid w:val="00D105C3"/>
    <w:rsid w:val="00D1602B"/>
    <w:rsid w:val="00D27FB3"/>
    <w:rsid w:val="00D30762"/>
    <w:rsid w:val="00D40B24"/>
    <w:rsid w:val="00D421AF"/>
    <w:rsid w:val="00D509AB"/>
    <w:rsid w:val="00D540AB"/>
    <w:rsid w:val="00D55EB1"/>
    <w:rsid w:val="00D61249"/>
    <w:rsid w:val="00D62654"/>
    <w:rsid w:val="00D63DDC"/>
    <w:rsid w:val="00D72309"/>
    <w:rsid w:val="00D73EBA"/>
    <w:rsid w:val="00D73F84"/>
    <w:rsid w:val="00D74363"/>
    <w:rsid w:val="00D748F5"/>
    <w:rsid w:val="00D81CEA"/>
    <w:rsid w:val="00D82B88"/>
    <w:rsid w:val="00D83494"/>
    <w:rsid w:val="00D9119C"/>
    <w:rsid w:val="00D924DF"/>
    <w:rsid w:val="00D9375F"/>
    <w:rsid w:val="00D94F99"/>
    <w:rsid w:val="00D97EBF"/>
    <w:rsid w:val="00DA086E"/>
    <w:rsid w:val="00DA1F50"/>
    <w:rsid w:val="00DA21FE"/>
    <w:rsid w:val="00DA25FE"/>
    <w:rsid w:val="00DA522A"/>
    <w:rsid w:val="00DB2EE0"/>
    <w:rsid w:val="00DC35A1"/>
    <w:rsid w:val="00DC3A21"/>
    <w:rsid w:val="00DC3C22"/>
    <w:rsid w:val="00DC76B0"/>
    <w:rsid w:val="00DD3F11"/>
    <w:rsid w:val="00DD468B"/>
    <w:rsid w:val="00DD69E2"/>
    <w:rsid w:val="00DE0DD8"/>
    <w:rsid w:val="00DE6571"/>
    <w:rsid w:val="00DE6CA2"/>
    <w:rsid w:val="00DF415D"/>
    <w:rsid w:val="00DF63B6"/>
    <w:rsid w:val="00DF7C46"/>
    <w:rsid w:val="00E044D4"/>
    <w:rsid w:val="00E136AA"/>
    <w:rsid w:val="00E13FAF"/>
    <w:rsid w:val="00E1446A"/>
    <w:rsid w:val="00E17698"/>
    <w:rsid w:val="00E17890"/>
    <w:rsid w:val="00E270BB"/>
    <w:rsid w:val="00E331ED"/>
    <w:rsid w:val="00E34B3C"/>
    <w:rsid w:val="00E35B5A"/>
    <w:rsid w:val="00E36D9E"/>
    <w:rsid w:val="00E37608"/>
    <w:rsid w:val="00E41252"/>
    <w:rsid w:val="00E43AE6"/>
    <w:rsid w:val="00E516EB"/>
    <w:rsid w:val="00E63982"/>
    <w:rsid w:val="00E64A68"/>
    <w:rsid w:val="00E66B1A"/>
    <w:rsid w:val="00E67DFB"/>
    <w:rsid w:val="00E71E72"/>
    <w:rsid w:val="00E74E88"/>
    <w:rsid w:val="00E74E8C"/>
    <w:rsid w:val="00E75D17"/>
    <w:rsid w:val="00E7713E"/>
    <w:rsid w:val="00E82CBB"/>
    <w:rsid w:val="00E835D0"/>
    <w:rsid w:val="00E854D7"/>
    <w:rsid w:val="00E87E35"/>
    <w:rsid w:val="00E902E3"/>
    <w:rsid w:val="00E9030F"/>
    <w:rsid w:val="00EA3366"/>
    <w:rsid w:val="00EA3C88"/>
    <w:rsid w:val="00EA5BC8"/>
    <w:rsid w:val="00EA60E1"/>
    <w:rsid w:val="00EA6B83"/>
    <w:rsid w:val="00EA7AEA"/>
    <w:rsid w:val="00EB3D10"/>
    <w:rsid w:val="00EB431F"/>
    <w:rsid w:val="00EC2191"/>
    <w:rsid w:val="00ED1AB4"/>
    <w:rsid w:val="00ED335F"/>
    <w:rsid w:val="00ED647F"/>
    <w:rsid w:val="00ED7DD3"/>
    <w:rsid w:val="00EE50CE"/>
    <w:rsid w:val="00EE5A2A"/>
    <w:rsid w:val="00EF113F"/>
    <w:rsid w:val="00EF372B"/>
    <w:rsid w:val="00F024D3"/>
    <w:rsid w:val="00F02B6C"/>
    <w:rsid w:val="00F02CF7"/>
    <w:rsid w:val="00F040A8"/>
    <w:rsid w:val="00F072ED"/>
    <w:rsid w:val="00F10925"/>
    <w:rsid w:val="00F12F0B"/>
    <w:rsid w:val="00F1456F"/>
    <w:rsid w:val="00F17E20"/>
    <w:rsid w:val="00F20122"/>
    <w:rsid w:val="00F21E20"/>
    <w:rsid w:val="00F2253D"/>
    <w:rsid w:val="00F24BBA"/>
    <w:rsid w:val="00F24E31"/>
    <w:rsid w:val="00F25F81"/>
    <w:rsid w:val="00F300AE"/>
    <w:rsid w:val="00F3229B"/>
    <w:rsid w:val="00F376E4"/>
    <w:rsid w:val="00F41668"/>
    <w:rsid w:val="00F42AD4"/>
    <w:rsid w:val="00F50C8A"/>
    <w:rsid w:val="00F53AE9"/>
    <w:rsid w:val="00F55CC5"/>
    <w:rsid w:val="00F605CA"/>
    <w:rsid w:val="00F62922"/>
    <w:rsid w:val="00F70632"/>
    <w:rsid w:val="00F735E7"/>
    <w:rsid w:val="00F73760"/>
    <w:rsid w:val="00F740B2"/>
    <w:rsid w:val="00F75097"/>
    <w:rsid w:val="00F7703F"/>
    <w:rsid w:val="00F7745C"/>
    <w:rsid w:val="00F906D5"/>
    <w:rsid w:val="00F91E71"/>
    <w:rsid w:val="00F9368B"/>
    <w:rsid w:val="00F94DEF"/>
    <w:rsid w:val="00F96A0C"/>
    <w:rsid w:val="00FB2012"/>
    <w:rsid w:val="00FB33EC"/>
    <w:rsid w:val="00FB61CC"/>
    <w:rsid w:val="00FC0E19"/>
    <w:rsid w:val="00FC50E6"/>
    <w:rsid w:val="00FC5EBA"/>
    <w:rsid w:val="00FD08DF"/>
    <w:rsid w:val="00FD08F3"/>
    <w:rsid w:val="00FD2697"/>
    <w:rsid w:val="00FD27F6"/>
    <w:rsid w:val="00FD5107"/>
    <w:rsid w:val="00FE1084"/>
    <w:rsid w:val="00FE7D1A"/>
    <w:rsid w:val="00FF0F0D"/>
    <w:rsid w:val="00FF1A8B"/>
    <w:rsid w:val="00FF2334"/>
    <w:rsid w:val="00FF31DD"/>
    <w:rsid w:val="00FF34E4"/>
    <w:rsid w:val="00FF5CA0"/>
    <w:rsid w:val="00FF7569"/>
    <w:rsid w:val="00FF7F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0D1"/>
    <w:rPr>
      <w:sz w:val="24"/>
      <w:szCs w:val="24"/>
      <w:lang w:val="es-MX"/>
    </w:rPr>
  </w:style>
  <w:style w:type="paragraph" w:styleId="Ttulo1">
    <w:name w:val="heading 1"/>
    <w:basedOn w:val="Normal"/>
    <w:next w:val="Normal"/>
    <w:qFormat/>
    <w:rsid w:val="00153576"/>
    <w:pPr>
      <w:keepNext/>
      <w:outlineLvl w:val="0"/>
    </w:pPr>
    <w:rPr>
      <w:b/>
      <w:bCs/>
    </w:rPr>
  </w:style>
  <w:style w:type="paragraph" w:styleId="Ttulo2">
    <w:name w:val="heading 2"/>
    <w:basedOn w:val="Normal"/>
    <w:next w:val="Normal"/>
    <w:qFormat/>
    <w:rsid w:val="00153576"/>
    <w:pPr>
      <w:keepNext/>
      <w:ind w:left="360"/>
      <w:outlineLvl w:val="1"/>
    </w:pPr>
    <w:rPr>
      <w:b/>
      <w:bCs/>
    </w:rPr>
  </w:style>
  <w:style w:type="paragraph" w:styleId="Ttulo5">
    <w:name w:val="heading 5"/>
    <w:basedOn w:val="Normal"/>
    <w:next w:val="Normal"/>
    <w:qFormat/>
    <w:rsid w:val="00153576"/>
    <w:pPr>
      <w:keepNext/>
      <w:pBdr>
        <w:top w:val="single" w:sz="4" w:space="1" w:color="auto"/>
        <w:left w:val="single" w:sz="4" w:space="4" w:color="auto"/>
        <w:bottom w:val="single" w:sz="4" w:space="1" w:color="auto"/>
        <w:right w:val="single" w:sz="4" w:space="4" w:color="auto"/>
      </w:pBdr>
      <w:jc w:val="center"/>
      <w:outlineLvl w:val="4"/>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153576"/>
    <w:pPr>
      <w:jc w:val="both"/>
    </w:pPr>
    <w:rPr>
      <w:rFonts w:ascii="Arial" w:hAnsi="Arial" w:cs="Arial"/>
      <w:sz w:val="22"/>
      <w:szCs w:val="22"/>
    </w:rPr>
  </w:style>
  <w:style w:type="paragraph" w:styleId="Encabezado">
    <w:name w:val="header"/>
    <w:basedOn w:val="Normal"/>
    <w:rsid w:val="00153576"/>
    <w:pPr>
      <w:tabs>
        <w:tab w:val="center" w:pos="4419"/>
        <w:tab w:val="right" w:pos="8838"/>
      </w:tabs>
    </w:pPr>
  </w:style>
  <w:style w:type="character" w:styleId="Nmerodepgina">
    <w:name w:val="page number"/>
    <w:basedOn w:val="Fuentedeprrafopredeter"/>
    <w:rsid w:val="00153576"/>
  </w:style>
  <w:style w:type="paragraph" w:styleId="Piedepgina">
    <w:name w:val="footer"/>
    <w:basedOn w:val="Normal"/>
    <w:rsid w:val="00153576"/>
    <w:pPr>
      <w:tabs>
        <w:tab w:val="center" w:pos="4419"/>
        <w:tab w:val="right" w:pos="8838"/>
      </w:tabs>
    </w:pPr>
  </w:style>
  <w:style w:type="paragraph" w:styleId="Textoindependiente">
    <w:name w:val="Body Text"/>
    <w:basedOn w:val="Normal"/>
    <w:rsid w:val="00153576"/>
    <w:pPr>
      <w:jc w:val="both"/>
    </w:pPr>
    <w:rPr>
      <w:rFonts w:ascii="ZapfHumnst BT" w:hAnsi="ZapfHumnst BT"/>
      <w:bCs/>
      <w:sz w:val="18"/>
    </w:rPr>
  </w:style>
  <w:style w:type="paragraph" w:styleId="Textodeglobo">
    <w:name w:val="Balloon Text"/>
    <w:basedOn w:val="Normal"/>
    <w:semiHidden/>
    <w:rsid w:val="00C34DFE"/>
    <w:rPr>
      <w:rFonts w:ascii="Tahoma" w:hAnsi="Tahoma" w:cs="Tahoma"/>
      <w:sz w:val="16"/>
      <w:szCs w:val="16"/>
    </w:rPr>
  </w:style>
  <w:style w:type="paragraph" w:styleId="Prrafodelista">
    <w:name w:val="List Paragraph"/>
    <w:basedOn w:val="Normal"/>
    <w:uiPriority w:val="34"/>
    <w:qFormat/>
    <w:rsid w:val="00E516EB"/>
    <w:pPr>
      <w:ind w:left="720"/>
      <w:contextualSpacing/>
    </w:pPr>
  </w:style>
  <w:style w:type="table" w:styleId="Tablaconcuadrcula">
    <w:name w:val="Table Grid"/>
    <w:basedOn w:val="Tablanormal"/>
    <w:uiPriority w:val="59"/>
    <w:rsid w:val="0001505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basedOn w:val="Fuentedeprrafopredeter"/>
    <w:qFormat/>
    <w:rsid w:val="008D09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0D1"/>
    <w:rPr>
      <w:sz w:val="24"/>
      <w:szCs w:val="24"/>
      <w:lang w:val="es-MX"/>
    </w:rPr>
  </w:style>
  <w:style w:type="paragraph" w:styleId="Ttulo1">
    <w:name w:val="heading 1"/>
    <w:basedOn w:val="Normal"/>
    <w:next w:val="Normal"/>
    <w:qFormat/>
    <w:rsid w:val="00153576"/>
    <w:pPr>
      <w:keepNext/>
      <w:outlineLvl w:val="0"/>
    </w:pPr>
    <w:rPr>
      <w:b/>
      <w:bCs/>
    </w:rPr>
  </w:style>
  <w:style w:type="paragraph" w:styleId="Ttulo2">
    <w:name w:val="heading 2"/>
    <w:basedOn w:val="Normal"/>
    <w:next w:val="Normal"/>
    <w:qFormat/>
    <w:rsid w:val="00153576"/>
    <w:pPr>
      <w:keepNext/>
      <w:ind w:left="360"/>
      <w:outlineLvl w:val="1"/>
    </w:pPr>
    <w:rPr>
      <w:b/>
      <w:bCs/>
    </w:rPr>
  </w:style>
  <w:style w:type="paragraph" w:styleId="Ttulo5">
    <w:name w:val="heading 5"/>
    <w:basedOn w:val="Normal"/>
    <w:next w:val="Normal"/>
    <w:qFormat/>
    <w:rsid w:val="00153576"/>
    <w:pPr>
      <w:keepNext/>
      <w:pBdr>
        <w:top w:val="single" w:sz="4" w:space="1" w:color="auto"/>
        <w:left w:val="single" w:sz="4" w:space="4" w:color="auto"/>
        <w:bottom w:val="single" w:sz="4" w:space="1" w:color="auto"/>
        <w:right w:val="single" w:sz="4" w:space="4" w:color="auto"/>
      </w:pBdr>
      <w:jc w:val="center"/>
      <w:outlineLvl w:val="4"/>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153576"/>
    <w:pPr>
      <w:jc w:val="both"/>
    </w:pPr>
    <w:rPr>
      <w:rFonts w:ascii="Arial" w:hAnsi="Arial" w:cs="Arial"/>
      <w:sz w:val="22"/>
      <w:szCs w:val="22"/>
    </w:rPr>
  </w:style>
  <w:style w:type="paragraph" w:styleId="Encabezado">
    <w:name w:val="header"/>
    <w:basedOn w:val="Normal"/>
    <w:rsid w:val="00153576"/>
    <w:pPr>
      <w:tabs>
        <w:tab w:val="center" w:pos="4419"/>
        <w:tab w:val="right" w:pos="8838"/>
      </w:tabs>
    </w:pPr>
  </w:style>
  <w:style w:type="character" w:styleId="Nmerodepgina">
    <w:name w:val="page number"/>
    <w:basedOn w:val="Fuentedeprrafopredeter"/>
    <w:rsid w:val="00153576"/>
  </w:style>
  <w:style w:type="paragraph" w:styleId="Piedepgina">
    <w:name w:val="footer"/>
    <w:basedOn w:val="Normal"/>
    <w:rsid w:val="00153576"/>
    <w:pPr>
      <w:tabs>
        <w:tab w:val="center" w:pos="4419"/>
        <w:tab w:val="right" w:pos="8838"/>
      </w:tabs>
    </w:pPr>
  </w:style>
  <w:style w:type="paragraph" w:styleId="Textoindependiente">
    <w:name w:val="Body Text"/>
    <w:basedOn w:val="Normal"/>
    <w:rsid w:val="00153576"/>
    <w:pPr>
      <w:jc w:val="both"/>
    </w:pPr>
    <w:rPr>
      <w:rFonts w:ascii="ZapfHumnst BT" w:hAnsi="ZapfHumnst BT"/>
      <w:bCs/>
      <w:sz w:val="18"/>
    </w:rPr>
  </w:style>
  <w:style w:type="paragraph" w:styleId="Textodeglobo">
    <w:name w:val="Balloon Text"/>
    <w:basedOn w:val="Normal"/>
    <w:semiHidden/>
    <w:rsid w:val="00C34DFE"/>
    <w:rPr>
      <w:rFonts w:ascii="Tahoma" w:hAnsi="Tahoma" w:cs="Tahoma"/>
      <w:sz w:val="16"/>
      <w:szCs w:val="16"/>
    </w:rPr>
  </w:style>
  <w:style w:type="paragraph" w:styleId="Prrafodelista">
    <w:name w:val="List Paragraph"/>
    <w:basedOn w:val="Normal"/>
    <w:uiPriority w:val="34"/>
    <w:qFormat/>
    <w:rsid w:val="00E516EB"/>
    <w:pPr>
      <w:ind w:left="720"/>
      <w:contextualSpacing/>
    </w:pPr>
  </w:style>
  <w:style w:type="table" w:styleId="Tablaconcuadrcula">
    <w:name w:val="Table Grid"/>
    <w:basedOn w:val="Tablanormal"/>
    <w:uiPriority w:val="59"/>
    <w:rsid w:val="0001505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basedOn w:val="Fuentedeprrafopredeter"/>
    <w:qFormat/>
    <w:rsid w:val="008D09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Hoja_de_c_lculo_de_Microsoft_Excel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65AB3-06F9-4CA9-B943-10B64E72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1754</Words>
  <Characters>10161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Nota 1</vt:lpstr>
    </vt:vector>
  </TitlesOfParts>
  <Company>Instituto de Cultura de Yucatán</Company>
  <LinksUpToDate>false</LinksUpToDate>
  <CharactersWithSpaces>11892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1</dc:title>
  <dc:creator>sabino.cruz</dc:creator>
  <cp:lastModifiedBy>figarosy1</cp:lastModifiedBy>
  <cp:revision>4</cp:revision>
  <cp:lastPrinted>2021-02-10T19:47:00Z</cp:lastPrinted>
  <dcterms:created xsi:type="dcterms:W3CDTF">2021-02-10T19:39:00Z</dcterms:created>
  <dcterms:modified xsi:type="dcterms:W3CDTF">2021-02-10T19:48:00Z</dcterms:modified>
</cp:coreProperties>
</file>