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EB" w:rsidRPr="000908E2" w:rsidRDefault="00E516EB" w:rsidP="00E516EB">
      <w:pPr>
        <w:rPr>
          <w:rFonts w:asciiTheme="minorHAnsi" w:hAnsiTheme="minorHAnsi"/>
          <w:b/>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64803" w:rsidRPr="000908E2" w:rsidRDefault="00764803" w:rsidP="00764803">
      <w:pPr>
        <w:rPr>
          <w:rFonts w:asciiTheme="minorHAnsi" w:hAnsiTheme="minorHAnsi"/>
          <w:b/>
          <w:sz w:val="20"/>
          <w:szCs w:val="20"/>
        </w:rPr>
      </w:pPr>
    </w:p>
    <w:p w:rsidR="00764803" w:rsidRPr="000908E2" w:rsidRDefault="00764803" w:rsidP="00764803">
      <w:pPr>
        <w:rPr>
          <w:rFonts w:asciiTheme="minorHAnsi" w:hAnsiTheme="minorHAnsi"/>
          <w:sz w:val="20"/>
          <w:szCs w:val="20"/>
        </w:rPr>
      </w:pPr>
      <w:r w:rsidRPr="000908E2">
        <w:rPr>
          <w:rFonts w:asciiTheme="minorHAnsi" w:hAnsiTheme="minorHAnsi"/>
          <w:sz w:val="20"/>
          <w:szCs w:val="20"/>
        </w:rPr>
        <w:t>A continuación se presenta los tres tipos de notas que acompañan a los estados, a saber:</w:t>
      </w:r>
    </w:p>
    <w:p w:rsidR="00764803" w:rsidRPr="000908E2" w:rsidRDefault="00764803" w:rsidP="00764803">
      <w:pPr>
        <w:tabs>
          <w:tab w:val="left" w:pos="567"/>
        </w:tabs>
        <w:rPr>
          <w:rFonts w:asciiTheme="minorHAnsi" w:hAnsiTheme="minorHAnsi"/>
          <w:sz w:val="20"/>
          <w:szCs w:val="20"/>
        </w:rPr>
      </w:pPr>
    </w:p>
    <w:p w:rsidR="00764803" w:rsidRDefault="00764803" w:rsidP="00764803">
      <w:pPr>
        <w:pStyle w:val="Prrafodelista"/>
        <w:numPr>
          <w:ilvl w:val="0"/>
          <w:numId w:val="14"/>
        </w:numPr>
        <w:tabs>
          <w:tab w:val="left" w:pos="284"/>
        </w:tabs>
        <w:ind w:left="0" w:firstLine="0"/>
        <w:rPr>
          <w:rFonts w:asciiTheme="minorHAnsi" w:hAnsiTheme="minorHAnsi"/>
          <w:sz w:val="20"/>
          <w:szCs w:val="20"/>
        </w:rPr>
      </w:pPr>
      <w:r w:rsidRPr="000908E2">
        <w:rPr>
          <w:rFonts w:asciiTheme="minorHAnsi" w:hAnsiTheme="minorHAnsi"/>
          <w:sz w:val="20"/>
          <w:szCs w:val="20"/>
        </w:rPr>
        <w:t>Notas de gestión administrativa</w:t>
      </w:r>
      <w:r>
        <w:rPr>
          <w:rFonts w:asciiTheme="minorHAnsi" w:hAnsiTheme="minorHAnsi"/>
          <w:sz w:val="20"/>
          <w:szCs w:val="20"/>
        </w:rPr>
        <w:t>;</w:t>
      </w:r>
      <w:r w:rsidRPr="000908E2">
        <w:rPr>
          <w:rFonts w:asciiTheme="minorHAnsi" w:hAnsiTheme="minorHAnsi"/>
          <w:sz w:val="20"/>
          <w:szCs w:val="20"/>
        </w:rPr>
        <w:t xml:space="preserve"> </w:t>
      </w:r>
    </w:p>
    <w:p w:rsidR="00764803" w:rsidRPr="000908E2" w:rsidRDefault="00764803" w:rsidP="00764803">
      <w:pPr>
        <w:pStyle w:val="Prrafodelista"/>
        <w:numPr>
          <w:ilvl w:val="0"/>
          <w:numId w:val="14"/>
        </w:numPr>
        <w:tabs>
          <w:tab w:val="left" w:pos="284"/>
        </w:tabs>
        <w:ind w:left="0" w:firstLine="0"/>
        <w:rPr>
          <w:rFonts w:asciiTheme="minorHAnsi" w:hAnsiTheme="minorHAnsi"/>
          <w:sz w:val="20"/>
          <w:szCs w:val="20"/>
        </w:rPr>
      </w:pPr>
      <w:r w:rsidRPr="000908E2">
        <w:rPr>
          <w:rFonts w:asciiTheme="minorHAnsi" w:hAnsiTheme="minorHAnsi"/>
          <w:sz w:val="20"/>
          <w:szCs w:val="20"/>
        </w:rPr>
        <w:t>Notas de desglose</w:t>
      </w:r>
      <w:r>
        <w:rPr>
          <w:rFonts w:asciiTheme="minorHAnsi" w:hAnsiTheme="minorHAnsi"/>
          <w:sz w:val="20"/>
          <w:szCs w:val="20"/>
        </w:rPr>
        <w:t>, y</w:t>
      </w:r>
    </w:p>
    <w:p w:rsidR="00764803" w:rsidRPr="00763607" w:rsidRDefault="00764803" w:rsidP="00764803">
      <w:pPr>
        <w:pStyle w:val="Prrafodelista"/>
        <w:numPr>
          <w:ilvl w:val="0"/>
          <w:numId w:val="14"/>
        </w:numPr>
        <w:tabs>
          <w:tab w:val="left" w:pos="284"/>
        </w:tabs>
        <w:ind w:left="0" w:firstLine="0"/>
        <w:rPr>
          <w:rFonts w:asciiTheme="minorHAnsi" w:hAnsiTheme="minorHAnsi"/>
          <w:sz w:val="20"/>
          <w:szCs w:val="20"/>
        </w:rPr>
      </w:pPr>
      <w:r>
        <w:rPr>
          <w:rFonts w:asciiTheme="minorHAnsi" w:hAnsiTheme="minorHAnsi"/>
          <w:sz w:val="20"/>
          <w:szCs w:val="20"/>
        </w:rPr>
        <w:t>Notas de memoria</w:t>
      </w:r>
      <w:r w:rsidRPr="00763607">
        <w:rPr>
          <w:rFonts w:asciiTheme="minorHAnsi" w:hAnsiTheme="minorHAnsi"/>
          <w:sz w:val="20"/>
          <w:szCs w:val="20"/>
        </w:rPr>
        <w:t>.</w:t>
      </w:r>
    </w:p>
    <w:p w:rsidR="00764803" w:rsidRDefault="00764803" w:rsidP="00764803">
      <w:pPr>
        <w:rPr>
          <w:rFonts w:asciiTheme="minorHAnsi" w:hAnsiTheme="minorHAnsi"/>
          <w:b/>
          <w:sz w:val="20"/>
          <w:szCs w:val="20"/>
        </w:rPr>
      </w:pPr>
    </w:p>
    <w:p w:rsidR="00764803" w:rsidRPr="000908E2" w:rsidRDefault="00764803" w:rsidP="00764803">
      <w:pPr>
        <w:pStyle w:val="Prrafodelista"/>
        <w:numPr>
          <w:ilvl w:val="0"/>
          <w:numId w:val="15"/>
        </w:numPr>
        <w:tabs>
          <w:tab w:val="left" w:pos="0"/>
          <w:tab w:val="left" w:pos="426"/>
        </w:tabs>
        <w:ind w:left="0" w:firstLine="0"/>
        <w:rPr>
          <w:rFonts w:asciiTheme="minorHAnsi" w:hAnsiTheme="minorHAnsi"/>
          <w:b/>
          <w:sz w:val="20"/>
          <w:szCs w:val="20"/>
        </w:rPr>
      </w:pPr>
      <w:r w:rsidRPr="000908E2">
        <w:rPr>
          <w:rFonts w:asciiTheme="minorHAnsi" w:hAnsiTheme="minorHAnsi"/>
          <w:b/>
          <w:sz w:val="20"/>
          <w:szCs w:val="20"/>
        </w:rPr>
        <w:t>NOTAS DE GESTIÓN ADMINISTRATIVA.</w:t>
      </w:r>
    </w:p>
    <w:p w:rsidR="00764803" w:rsidRPr="000908E2" w:rsidRDefault="00764803" w:rsidP="00764803">
      <w:pPr>
        <w:tabs>
          <w:tab w:val="left" w:pos="426"/>
        </w:tabs>
        <w:ind w:left="360"/>
        <w:rPr>
          <w:rFonts w:asciiTheme="minorHAnsi" w:hAnsiTheme="minorHAnsi"/>
          <w:b/>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Introducción.</w:t>
      </w:r>
    </w:p>
    <w:p w:rsidR="00764803" w:rsidRPr="000908E2" w:rsidRDefault="00764803" w:rsidP="00764803">
      <w:pPr>
        <w:tabs>
          <w:tab w:val="left" w:pos="426"/>
        </w:tabs>
        <w:rPr>
          <w:rFonts w:asciiTheme="minorHAnsi" w:hAnsiTheme="minorHAnsi"/>
          <w:sz w:val="20"/>
          <w:szCs w:val="20"/>
        </w:rPr>
      </w:pPr>
    </w:p>
    <w:p w:rsidR="00764803" w:rsidRPr="000908E2" w:rsidRDefault="00764803" w:rsidP="00764803">
      <w:pPr>
        <w:tabs>
          <w:tab w:val="left" w:pos="426"/>
        </w:tabs>
        <w:jc w:val="both"/>
        <w:rPr>
          <w:rFonts w:asciiTheme="minorHAnsi" w:hAnsiTheme="minorHAnsi"/>
          <w:sz w:val="20"/>
          <w:szCs w:val="20"/>
        </w:rPr>
      </w:pPr>
      <w:r w:rsidRPr="000908E2">
        <w:rPr>
          <w:rFonts w:asciiTheme="minorHAnsi" w:hAnsiTheme="minorHAnsi"/>
          <w:sz w:val="20"/>
          <w:szCs w:val="20"/>
        </w:rPr>
        <w:t>Los Estados Financieros del Fideicomiso Garante de la Orquesta Sinfónica de Yucatán, proveen de información financiera a los principales usuarios, al H. Congreso del Estado de Yucatán y a los ciudadanos.</w:t>
      </w:r>
    </w:p>
    <w:p w:rsidR="00764803" w:rsidRPr="000908E2" w:rsidRDefault="00764803" w:rsidP="00764803">
      <w:pPr>
        <w:tabs>
          <w:tab w:val="left" w:pos="426"/>
        </w:tabs>
        <w:jc w:val="both"/>
        <w:rPr>
          <w:rFonts w:asciiTheme="minorHAnsi" w:hAnsiTheme="minorHAnsi"/>
          <w:sz w:val="20"/>
          <w:szCs w:val="20"/>
        </w:rPr>
      </w:pPr>
    </w:p>
    <w:p w:rsidR="00764803" w:rsidRPr="000908E2" w:rsidRDefault="00764803" w:rsidP="00764803">
      <w:pPr>
        <w:tabs>
          <w:tab w:val="left" w:pos="426"/>
        </w:tabs>
        <w:jc w:val="both"/>
        <w:rPr>
          <w:rFonts w:asciiTheme="minorHAnsi" w:hAnsiTheme="minorHAnsi"/>
          <w:sz w:val="20"/>
          <w:szCs w:val="20"/>
        </w:rPr>
      </w:pPr>
      <w:r w:rsidRPr="000908E2">
        <w:rPr>
          <w:rFonts w:asciiTheme="minorHAnsi" w:hAnsiTheme="minorHAns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64803" w:rsidRPr="000908E2" w:rsidRDefault="00764803" w:rsidP="00764803">
      <w:pPr>
        <w:tabs>
          <w:tab w:val="left" w:pos="426"/>
        </w:tabs>
        <w:jc w:val="both"/>
        <w:rPr>
          <w:rFonts w:asciiTheme="minorHAnsi" w:hAnsiTheme="minorHAnsi"/>
          <w:sz w:val="20"/>
          <w:szCs w:val="20"/>
        </w:rPr>
      </w:pPr>
    </w:p>
    <w:p w:rsidR="00764803" w:rsidRPr="000908E2" w:rsidRDefault="00764803" w:rsidP="00764803">
      <w:pPr>
        <w:tabs>
          <w:tab w:val="left" w:pos="426"/>
        </w:tabs>
        <w:jc w:val="both"/>
        <w:rPr>
          <w:rFonts w:asciiTheme="minorHAnsi" w:hAnsiTheme="minorHAnsi"/>
          <w:sz w:val="20"/>
          <w:szCs w:val="20"/>
        </w:rPr>
      </w:pPr>
      <w:r w:rsidRPr="000908E2">
        <w:rPr>
          <w:rFonts w:asciiTheme="minorHAnsi" w:hAnsiTheme="minorHAns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764803" w:rsidRPr="000908E2" w:rsidRDefault="00764803" w:rsidP="00764803">
      <w:pPr>
        <w:tabs>
          <w:tab w:val="left" w:pos="426"/>
        </w:tabs>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Panorama Económico y Financiero.</w:t>
      </w:r>
    </w:p>
    <w:p w:rsidR="00764803" w:rsidRPr="000908E2" w:rsidRDefault="00764803" w:rsidP="00764803">
      <w:pPr>
        <w:tabs>
          <w:tab w:val="left" w:pos="426"/>
        </w:tabs>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El Gobierno del Estado de Yucatán ha establecido como objetivo principal de la política de cultura en el marco de integración, que debe de ser de acceso universal. La cultura debe de llegar a más ciudadanos del Estado; se debe de exponer a más niños, jóvenes y adultos a la riqueza y al horizonte cultural que se tiene en la entidad.</w:t>
      </w:r>
    </w:p>
    <w:p w:rsidR="00764803" w:rsidRPr="000908E2" w:rsidRDefault="00764803"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 xml:space="preserve">La segunda gran asignatura de la cultura es incrementar la producción de la misma, lo cual tiene a su vez dos vertientes: cuidar, proteger y fomentar las manifestaciones culturales que distinguen al pueblo yucateco y que son ancestrales; y al mismo tiempo permitir que Yucatán siga siendo un Estado que produce nuevas expresiones artísticas contemporáneas y de vanguardia. </w:t>
      </w:r>
    </w:p>
    <w:p w:rsidR="00764803" w:rsidRPr="000908E2" w:rsidRDefault="00764803"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 xml:space="preserve">Esta política se ha establecido en el Plan Estatal de Desarrollo 2012-2018 del Gobierno del Estado de Yucatán, identificado en el “Eje III – Yucatán con Educación de Calidad”. A su vez, se encuentra alineado con las políticas de planeación a nivel federal, en el “Eje III - México con Educación de Calidad para Todos” plasmado en el Plan Nacional de Desarrollo 2012-2018. </w:t>
      </w:r>
    </w:p>
    <w:p w:rsidR="00764803" w:rsidRPr="000908E2" w:rsidRDefault="00764803" w:rsidP="00764803">
      <w:pPr>
        <w:tabs>
          <w:tab w:val="left" w:pos="426"/>
        </w:tabs>
        <w:jc w:val="both"/>
        <w:rPr>
          <w:rFonts w:asciiTheme="minorHAnsi" w:hAnsiTheme="minorHAnsi"/>
          <w:sz w:val="20"/>
          <w:szCs w:val="20"/>
        </w:rPr>
      </w:pPr>
    </w:p>
    <w:p w:rsidR="00764803" w:rsidRPr="000908E2" w:rsidRDefault="00764803" w:rsidP="00764803">
      <w:pPr>
        <w:tabs>
          <w:tab w:val="left" w:pos="426"/>
        </w:tabs>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Autorización e Historia.</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El Fideicomiso Garante de la Orquesta Sinfónica de Yucatán (FIGAROSY), es un fideicomiso público de la Administración Pública Descentralizada, creado el 18 de Marzo de 2008, mediante decreto número 69 publicado en el Diario Oficial del Estado de Yucatán.</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El día 19 de Enero de 2009, mediante el decreto número 160 publicado en el Diario Oficial del Estado de Yucatán, se autorizó reformar, adicionar y derogar diversas disposiciones del decreto que autoriza la creación del FIGAROSY, donde se creó una entidad de la Administración Pública Paraestatal.</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Cabe señalar que el Fideicomiso Garante de la Orquesta Sinfónica de Yucatán inició operaciones en el mes de Abril de 2009.</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Organización y Objetivo Social.</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El objeto principal del FIGAROSY, es la administración e inversión de los recursos para la difusión, preservación, impulso y permanencia de la Orquesta Sinfónica de Yucatán, con una duración de treinta años.</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Como parte de estos fines, se estable el contrato de fideicomiso No. 80553, número de inversión 1063907, con la institución Nacional Financiera S.N.C., como fiduciaria y como fideicomitente el Gobierno del Estado de Yucatán, representado por la Secretaría de Administración y Finanzas.</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El FIGAROSY, inicia su ejercicio fiscal el día primero de Enero y lo cierra el día 31 de Diciembre de cada año.</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El FIGAROSY está regulado por:</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Decreto de creación del Fideicomiso Garante de la Orquesta Sinfónica de Yucatán.</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Decreto de modificación del Fideicomiso Garante de la Orquesta Sinfónica de Yucatán.</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Constitución Política de los Estados Unidos Mexicanos.</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Constitución Política del Estado de Yucatán.</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Código de Administración Pública del Estado de Yucatán.</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Reglamento del Código de la Administración Pública del Estado de Yucatán.</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del Presupuesto y Contabilidad Gubernamental del Estado de Yucatán.</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General de Contabilidad Gubernamental.</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Ley de Responsabilidades de los Servidores Públicos del Estado de Yucatán.</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 xml:space="preserve">Ley de Adquisiciones, Arrendamientos, y Prestaciones de Servicios Relacionados con Bienes Muebles. </w:t>
      </w:r>
    </w:p>
    <w:p w:rsidR="00764803" w:rsidRPr="000908E2" w:rsidRDefault="00764803" w:rsidP="00764803">
      <w:pPr>
        <w:pStyle w:val="Prrafodelista"/>
        <w:numPr>
          <w:ilvl w:val="0"/>
          <w:numId w:val="3"/>
        </w:numPr>
        <w:tabs>
          <w:tab w:val="left" w:pos="284"/>
        </w:tabs>
        <w:autoSpaceDE w:val="0"/>
        <w:ind w:left="0" w:firstLine="0"/>
        <w:jc w:val="both"/>
        <w:rPr>
          <w:rFonts w:asciiTheme="minorHAnsi" w:hAnsiTheme="minorHAnsi"/>
          <w:sz w:val="20"/>
          <w:szCs w:val="20"/>
        </w:rPr>
      </w:pPr>
      <w:r w:rsidRPr="000908E2">
        <w:rPr>
          <w:rFonts w:asciiTheme="minorHAnsi" w:hAnsiTheme="minorHAnsi"/>
          <w:sz w:val="20"/>
          <w:szCs w:val="20"/>
        </w:rPr>
        <w:t xml:space="preserve">Estatuto Orgánico del Fideicomiso Garante de la Orquesta Sinfónica de Yucatán. </w:t>
      </w:r>
    </w:p>
    <w:p w:rsidR="00764803" w:rsidRPr="000908E2" w:rsidRDefault="00764803" w:rsidP="00764803">
      <w:pPr>
        <w:autoSpaceDE w:val="0"/>
        <w:jc w:val="both"/>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El FIGAROSY es una Persona Moral sin Fines de Lucro, conforme a los artículos 93 y 102 del Título Tercero de la ley del Impuesto Sobre la Renta, por ser un organismo público paraestatal de la administración estatal. Para tal efecto, está obligado a retener el Impuesto Sobre la Renta por la prestación de un servicio personal subordinado, por la prestación de un servicio profesional y arrendamiento de inmuebles.</w:t>
      </w:r>
    </w:p>
    <w:p w:rsidR="00764803" w:rsidRPr="000908E2" w:rsidRDefault="00764803" w:rsidP="00764803">
      <w:pPr>
        <w:jc w:val="both"/>
        <w:rPr>
          <w:rFonts w:asciiTheme="minorHAnsi" w:hAnsiTheme="minorHAnsi" w:cs="Arial"/>
          <w:bCs/>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Para dar cumplimiento a los fines para los que fue creado, el FIGAROSY cuenta con los siguientes órganos y unidades administrativas:</w:t>
      </w:r>
    </w:p>
    <w:p w:rsidR="00764803" w:rsidRPr="000908E2" w:rsidRDefault="00764803" w:rsidP="00764803">
      <w:pPr>
        <w:jc w:val="both"/>
        <w:rPr>
          <w:rFonts w:asciiTheme="minorHAnsi" w:hAnsiTheme="minorHAnsi"/>
          <w:sz w:val="20"/>
          <w:szCs w:val="20"/>
        </w:rPr>
      </w:pPr>
    </w:p>
    <w:p w:rsidR="00764803" w:rsidRPr="000908E2" w:rsidRDefault="00764803" w:rsidP="00764803">
      <w:pPr>
        <w:pStyle w:val="Prrafodelista"/>
        <w:numPr>
          <w:ilvl w:val="0"/>
          <w:numId w:val="1"/>
        </w:numPr>
        <w:tabs>
          <w:tab w:val="left" w:pos="284"/>
        </w:tabs>
        <w:ind w:hanging="720"/>
        <w:jc w:val="both"/>
        <w:rPr>
          <w:rFonts w:asciiTheme="minorHAnsi" w:hAnsiTheme="minorHAnsi"/>
          <w:sz w:val="20"/>
          <w:szCs w:val="20"/>
        </w:rPr>
      </w:pPr>
      <w:r w:rsidRPr="000908E2">
        <w:rPr>
          <w:rFonts w:asciiTheme="minorHAnsi" w:hAnsiTheme="minorHAnsi"/>
          <w:sz w:val="20"/>
          <w:szCs w:val="20"/>
        </w:rPr>
        <w:t>De Gobierno: Comité Técnico.</w:t>
      </w:r>
    </w:p>
    <w:p w:rsidR="00764803" w:rsidRPr="000908E2" w:rsidRDefault="00764803" w:rsidP="00764803">
      <w:pPr>
        <w:pStyle w:val="Prrafodelista"/>
        <w:numPr>
          <w:ilvl w:val="0"/>
          <w:numId w:val="1"/>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De Administración: - Dirección General, </w:t>
      </w:r>
    </w:p>
    <w:p w:rsidR="00764803" w:rsidRPr="000908E2" w:rsidRDefault="00764803" w:rsidP="00764803">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de Administración y Finanzas, </w:t>
      </w:r>
    </w:p>
    <w:p w:rsidR="00764803" w:rsidRPr="000908E2" w:rsidRDefault="00764803" w:rsidP="00764803">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Artística, </w:t>
      </w:r>
    </w:p>
    <w:p w:rsidR="00764803" w:rsidRPr="000908E2" w:rsidRDefault="00764803" w:rsidP="00764803">
      <w:pPr>
        <w:pStyle w:val="Prrafodelista"/>
        <w:numPr>
          <w:ilvl w:val="0"/>
          <w:numId w:val="11"/>
        </w:numPr>
        <w:tabs>
          <w:tab w:val="left" w:pos="284"/>
        </w:tabs>
        <w:ind w:left="1985" w:firstLine="0"/>
        <w:jc w:val="both"/>
        <w:rPr>
          <w:rFonts w:asciiTheme="minorHAnsi" w:hAnsiTheme="minorHAnsi"/>
          <w:sz w:val="20"/>
          <w:szCs w:val="20"/>
        </w:rPr>
      </w:pPr>
      <w:r w:rsidRPr="000908E2">
        <w:rPr>
          <w:rFonts w:asciiTheme="minorHAnsi" w:hAnsiTheme="minorHAnsi"/>
          <w:sz w:val="20"/>
          <w:szCs w:val="20"/>
        </w:rPr>
        <w:t xml:space="preserve">Dirección de Comunicación y Medios, </w:t>
      </w:r>
    </w:p>
    <w:p w:rsidR="00764803" w:rsidRPr="000908E2" w:rsidRDefault="00764803" w:rsidP="00764803">
      <w:pPr>
        <w:tabs>
          <w:tab w:val="left" w:pos="284"/>
        </w:tabs>
        <w:ind w:left="2127" w:hanging="142"/>
        <w:jc w:val="both"/>
        <w:rPr>
          <w:rFonts w:asciiTheme="minorHAnsi" w:hAnsiTheme="minorHAnsi"/>
          <w:sz w:val="20"/>
          <w:szCs w:val="20"/>
        </w:rPr>
      </w:pPr>
      <w:r w:rsidRPr="000908E2">
        <w:rPr>
          <w:rFonts w:asciiTheme="minorHAnsi" w:hAnsiTheme="minorHAnsi"/>
          <w:sz w:val="20"/>
          <w:szCs w:val="20"/>
        </w:rPr>
        <w:t>-  Dirección de Asuntos y Servicios Jurídicos.</w:t>
      </w: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c) De Vigilancia: Secretaría de la Contraloría General,</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El Comité Técnico está conformado de la siguiente manera:</w:t>
      </w:r>
    </w:p>
    <w:p w:rsidR="00764803" w:rsidRPr="000908E2" w:rsidRDefault="00764803" w:rsidP="00764803">
      <w:pPr>
        <w:tabs>
          <w:tab w:val="left" w:pos="284"/>
          <w:tab w:val="left" w:pos="567"/>
        </w:tabs>
        <w:ind w:left="142"/>
        <w:jc w:val="both"/>
        <w:rPr>
          <w:rFonts w:asciiTheme="minorHAnsi" w:hAnsiTheme="minorHAnsi"/>
          <w:sz w:val="20"/>
          <w:szCs w:val="20"/>
        </w:rPr>
      </w:pPr>
    </w:p>
    <w:p w:rsidR="00764803" w:rsidRPr="000908E2" w:rsidRDefault="00764803" w:rsidP="00764803">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Un Presidente que es el Gobernador del Estado;</w:t>
      </w:r>
    </w:p>
    <w:p w:rsidR="00764803" w:rsidRPr="000908E2" w:rsidRDefault="00764803" w:rsidP="00764803">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General de Gobierno, quien suple las ausencias del Presidente del Comité Técnico;</w:t>
      </w:r>
    </w:p>
    <w:p w:rsidR="00764803" w:rsidRPr="000908E2" w:rsidRDefault="00764803" w:rsidP="00764803">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Administración y Finanzas;</w:t>
      </w:r>
    </w:p>
    <w:p w:rsidR="00764803" w:rsidRPr="000908E2" w:rsidRDefault="00764803" w:rsidP="00764803">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Educación;</w:t>
      </w:r>
    </w:p>
    <w:p w:rsidR="00764803" w:rsidRPr="000908E2" w:rsidRDefault="00764803" w:rsidP="00764803">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Secretario de Cultura y Artes de Yucatán;</w:t>
      </w:r>
    </w:p>
    <w:p w:rsidR="00764803" w:rsidRPr="000908E2" w:rsidRDefault="00764803" w:rsidP="00764803">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Presidente del Patronato para la Orquesta Sinfónica de Yucatán A.C.;</w:t>
      </w:r>
    </w:p>
    <w:p w:rsidR="00764803" w:rsidRPr="000908E2" w:rsidRDefault="00764803" w:rsidP="00764803">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El Vicepresidente del Patronato para la Orquesta Sinfónica de Yucatán, A.C.:</w:t>
      </w:r>
    </w:p>
    <w:p w:rsidR="00764803" w:rsidRPr="000908E2" w:rsidRDefault="00764803" w:rsidP="00764803">
      <w:pPr>
        <w:pStyle w:val="Prrafodelista"/>
        <w:numPr>
          <w:ilvl w:val="0"/>
          <w:numId w:val="2"/>
        </w:numPr>
        <w:tabs>
          <w:tab w:val="left" w:pos="284"/>
          <w:tab w:val="left" w:pos="567"/>
        </w:tabs>
        <w:ind w:left="142" w:firstLine="0"/>
        <w:jc w:val="both"/>
        <w:rPr>
          <w:rFonts w:asciiTheme="minorHAnsi" w:hAnsiTheme="minorHAnsi"/>
          <w:sz w:val="20"/>
          <w:szCs w:val="20"/>
        </w:rPr>
      </w:pPr>
      <w:r w:rsidRPr="000908E2">
        <w:rPr>
          <w:rFonts w:asciiTheme="minorHAnsi" w:hAnsiTheme="minorHAnsi"/>
          <w:sz w:val="20"/>
          <w:szCs w:val="20"/>
        </w:rPr>
        <w:t>Tres representantes de la sociedad civil propuesto por el Patronato para la Orquesta Sinfónica de Yucatán,     A.C.</w:t>
      </w:r>
    </w:p>
    <w:p w:rsidR="00764803" w:rsidRPr="000908E2" w:rsidRDefault="00764803" w:rsidP="00764803">
      <w:pPr>
        <w:pStyle w:val="Prrafodelista"/>
        <w:tabs>
          <w:tab w:val="left" w:pos="284"/>
          <w:tab w:val="left" w:pos="567"/>
        </w:tabs>
        <w:ind w:left="142"/>
        <w:jc w:val="both"/>
        <w:rPr>
          <w:rFonts w:asciiTheme="minorHAnsi" w:hAnsiTheme="minorHAnsi"/>
          <w:sz w:val="20"/>
          <w:szCs w:val="20"/>
        </w:rPr>
      </w:pPr>
    </w:p>
    <w:p w:rsidR="00764803" w:rsidRPr="000908E2" w:rsidRDefault="00764803" w:rsidP="00764803">
      <w:pPr>
        <w:pStyle w:val="Prrafodelista"/>
        <w:tabs>
          <w:tab w:val="left" w:pos="284"/>
          <w:tab w:val="left" w:pos="567"/>
        </w:tabs>
        <w:ind w:left="142"/>
        <w:jc w:val="both"/>
        <w:rPr>
          <w:rFonts w:asciiTheme="minorHAnsi" w:hAnsiTheme="minorHAnsi"/>
          <w:sz w:val="20"/>
          <w:szCs w:val="20"/>
        </w:rPr>
      </w:pPr>
      <w:r w:rsidRPr="000908E2">
        <w:rPr>
          <w:rFonts w:asciiTheme="minorHAnsi" w:hAnsiTheme="minorHAnsi"/>
          <w:sz w:val="20"/>
          <w:szCs w:val="20"/>
        </w:rPr>
        <w:t xml:space="preserve">Con fundamento al artículo 609 del Reglamento al Código del Código de la Administración Pública del Estado de Yucatán.   </w:t>
      </w:r>
    </w:p>
    <w:p w:rsidR="00764803" w:rsidRPr="000908E2" w:rsidRDefault="00764803" w:rsidP="00764803">
      <w:pPr>
        <w:pStyle w:val="Prrafodelista"/>
        <w:tabs>
          <w:tab w:val="left" w:pos="284"/>
          <w:tab w:val="left" w:pos="567"/>
        </w:tabs>
        <w:ind w:left="142"/>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Bases de preparación de los Estados Financieros.</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Los Estados Financieros a partir del ejercicio 2011, son elaborados con base en la Ley General de Contabilidad Gubernamental, las Normas de Información Financiera, emitidas por el Consejo Mexicano para la Investigación y Desarrollo de Normas de Información Financiera A.C. (CINIF) y tomando los lineamientos del Consejo Nacional de Armonización Contable (CONAC).</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De conformidad con el artículo 22 de la Ley General de Contabilidad Gubernamental “… los postulados tienen como objetivo sustentar técnicamente la contabilidad gubernamental, así como organizar la efectiva sistematización que permita la obtención de información veraz, clara y concisa”.</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Postulados básicos de la Contabilidad Gubernamental aprobados por la CONAC:</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Sustancia Económica.</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Entes Públicos.</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Existencia Permanente.</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Revelación Suficiente.</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Importancia Relativa.</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Registro e Integración Presupuestaria.</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Consolidación de la Información Financiera.</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Devengo Contable.</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Valuación.</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Dualidad Económica.</w:t>
      </w:r>
    </w:p>
    <w:p w:rsidR="00764803" w:rsidRPr="000908E2" w:rsidRDefault="00764803" w:rsidP="00764803">
      <w:pPr>
        <w:pStyle w:val="Prrafodelista"/>
        <w:numPr>
          <w:ilvl w:val="0"/>
          <w:numId w:val="4"/>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Consistencia.</w:t>
      </w: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Pr="000908E2" w:rsidRDefault="00764803" w:rsidP="00764803">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En forma supletoria  a las Normas de la Ley General de Contabilidad Gubernamental y a las emitidas por la CONAC se aplicarán las siguientes:</w:t>
      </w: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Pr="000908E2" w:rsidRDefault="00764803" w:rsidP="00764803">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Normatividad emitidas por las unidades administrativas o instancias competentes en materia de Contabilidad Gubernamental.</w:t>
      </w:r>
    </w:p>
    <w:p w:rsidR="00764803" w:rsidRPr="000908E2" w:rsidRDefault="00764803" w:rsidP="00764803">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Las Normas Internacionales de Contabilidad para el sector público (NICSP) emitidas por la Junta de Normas Internacionales de Contabilidad del Sector Público.</w:t>
      </w:r>
    </w:p>
    <w:p w:rsidR="00764803" w:rsidRPr="000908E2" w:rsidRDefault="00764803" w:rsidP="00764803">
      <w:pPr>
        <w:pStyle w:val="Prrafodelista"/>
        <w:numPr>
          <w:ilvl w:val="0"/>
          <w:numId w:val="5"/>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Las Normas de Información Financiera del Consejo Mexicano para la Investigación y Desarrollo de Normas de Información Financiera A.C. (CINIF).</w:t>
      </w:r>
    </w:p>
    <w:p w:rsidR="00764803"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Políticas Contables Significativas.</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La información es preparada con base a la Ley General de Contabilidad Gubernamental, que a través del Consejo Nacional de Armonización Contable (CONAC), emite las normas contables y lineamientos para la generación de la información financiera que aplica a los entes públicos.</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En el mes de Enero de 2015, el FIGAROSY implemento el software denominado “</w:t>
      </w:r>
      <w:proofErr w:type="spellStart"/>
      <w:r w:rsidRPr="000908E2">
        <w:rPr>
          <w:rFonts w:asciiTheme="minorHAnsi" w:hAnsiTheme="minorHAnsi"/>
          <w:sz w:val="20"/>
          <w:szCs w:val="20"/>
        </w:rPr>
        <w:t>Saacg</w:t>
      </w:r>
      <w:proofErr w:type="gramStart"/>
      <w:r w:rsidRPr="000908E2">
        <w:rPr>
          <w:rFonts w:asciiTheme="minorHAnsi" w:hAnsiTheme="minorHAnsi"/>
          <w:sz w:val="20"/>
          <w:szCs w:val="20"/>
        </w:rPr>
        <w:t>,net</w:t>
      </w:r>
      <w:proofErr w:type="spellEnd"/>
      <w:proofErr w:type="gramEnd"/>
      <w:r w:rsidRPr="000908E2">
        <w:rPr>
          <w:rFonts w:asciiTheme="minorHAnsi" w:hAnsiTheme="minorHAnsi"/>
          <w:sz w:val="20"/>
          <w:szCs w:val="20"/>
        </w:rPr>
        <w:t xml:space="preserve">” que es desarrollado por el Instituto para el Desarrollo Técnico de las Hacienda Públicas, para el registrar las transacciones que identifican los momentos contables de las partidas de ingresos y egresos, conforme a lo establecido por la Ley General de Contabilidad Gubernamental. </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 xml:space="preserve">Las principales políticas contables seguidas por el FIGAROSY, son las siguientes: </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Efectivo y equivalente de efectivo. Consisten principalmente es depósitos bancarios en cuentas de cheques e inversiones en valores a corto plazo, de gran liquidez, fácilmente de convertibles en efectivo y sujetos a riesgos poco significativos a cambio de valor. Los intereses devengados de las inversiones temporales se registran conforme se cobran. El efectivo se presenta a valor nominal.</w:t>
      </w:r>
    </w:p>
    <w:p w:rsidR="00764803" w:rsidRPr="000908E2" w:rsidRDefault="00764803" w:rsidP="00764803">
      <w:pPr>
        <w:pStyle w:val="Prrafodelista"/>
        <w:tabs>
          <w:tab w:val="left" w:pos="284"/>
        </w:tabs>
        <w:ind w:left="284"/>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Cuentas por cobrar. El registro de las cuentas por cobrar se hace en el momento de devengarse el ingreso y expedirse el comprobante correspondiente, a un plazo menor o igual a doce meses.</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Estimación para cuentas incobrables. Se registrarán las cuentas por cobrar aquellas con características de incobrabilidad de las cuales deberán ser menores a doce meses, afectando a resultados del ejercicio que se aplique.</w:t>
      </w:r>
    </w:p>
    <w:p w:rsidR="00764803" w:rsidRPr="000908E2" w:rsidRDefault="00764803" w:rsidP="00764803">
      <w:pPr>
        <w:pStyle w:val="Prrafodelista"/>
        <w:tabs>
          <w:tab w:val="left" w:pos="284"/>
        </w:tabs>
        <w:ind w:left="284"/>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Almacén. Las mercancías se registran al costo de adquisición y el método de costeo utilizado para el almacén es el de últimas entradas primeras salidas (UEPS).</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Anticipos a corto plazo. Estas partidas se valúan a su valor pactado originalmente del derecho exigible a un plazo menor o igual a doce meses.</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 xml:space="preserve">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Marzo de 1012 en el Diario Oficial del Gobierno del Estado de Yucatán.     </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Depreciaciones y amortizaciones. El monto de la depreciación como la amortización se calculará considerando el costo de adquisición del activo depreciable o amortizable, menos el valor de desecho, entre los años correspondientes a su vida útil o su vida económica; registrándose en los gastos del período, con el objeto de conocer el gasto patrimonial, por el uso que se está dando el activo, lo cual redundará en una estimación adecuada de la utilidad en un ente público lucrativo o del costo de operación en un ente público con fines exclusivamente gubernamentales o sin fines de lucro, y en una cuenta complementaría de activo como depreciación o amortización acumulada, a efecto de poder determinar el valor neto o el monto por depreciar o amortizar restante.</w:t>
      </w:r>
    </w:p>
    <w:p w:rsidR="00764803" w:rsidRPr="000908E2" w:rsidRDefault="00764803" w:rsidP="00764803">
      <w:pPr>
        <w:pStyle w:val="Prrafodelista"/>
        <w:tabs>
          <w:tab w:val="left" w:pos="284"/>
        </w:tabs>
        <w:ind w:left="284"/>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Proveedores por pagar a corto plazo. Los adeudos originados por la compra de mercancías o servicios se reconocen en el momento en que se toman posesión de los bienes, se obtienen o se reciben los servicios, con vencimiento menor o igual a doce meses.</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Ingresos. Los ingresos transferidos por el Poder Ejecutivo, aportaciones efectuadas por terceros, venta de localidades por las presentaciones de la Orquesta Sinfónica de Yucatán, y otros ingresos distintos a los conceptos mencionados, se reconocen cuando se reciben en efectivo o cuando se expide el comprobante correspondiente.</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Gastos. Los gastos se registran cuando se devengan.</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Patrimonio Contribuido. El FIGAROSY efectúa un doble registro en aquellos casos en que adquiere bienes muebles e inmuebles, afectando una cuenta de gastos y un incremento al patrimonio, a fin de estar de acuerdo con la contabilidad presupuestal y políticas de las entidades de gobierno, de acuerdo a las normas de Información Financiera. Estos bienes muebles e inmuebles conforman el patrimonio propio del FIGAROSY.</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Indemnización y compensaciones de retiro. La entidad tiene la política de no considerar anticipadamente reservas para las indemnizaciones y compensaciones que en un futuro tuviera que pagar al personal en ciertos casos de despidos y renuncias, pues su política es registrarlos contablemente en el ejercicio en que se den tales situaciones.</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6"/>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De acuerdo con lo establecido en la cláusula Décima Quinta del Contrato modificatorio de Fideicomiso signado con Nacional Financiera S.N.C., suscrito el 25 de Mayo de 2009, que a letra dice: “La FIDUCIARIA invertirá los fondos líquidos del FIDEICOMISO en instrumentos de deuda gubernamentales o bancarios, en los plazos y los términos que la instruya por escrito o por medios electrónicos el Comité Técnico, por conducto del Director General del presente FIDEICOMISO, tomando a su cargo la FIDUCIARIA la vigilancia de los mismos y reinvirtiendo el producto de las amortizaciones de los valores,…”, con el fin de tener la disponibilidad en caso de algún imprevisto que ponga en riesgo la operatividad de FIGAROSY.</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Posición en Moneda Extranjera y Protección por Riesgo Cambiario.</w: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Las operaciones que derivan un pago en moneda extranjera, se convierte en moneda nacional, al utilizar el tipo de cambio del día que se realice la operación, que es la fecha en que la transacción cumple las condiciones para su reconocimiento.</w: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Reporte Analítico del Activo.</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 xml:space="preserve">Los bienes muebles e inmuebles se registran al valor de adquisición y sea mayor a treinta y cinco días de salario mínimo vigente en el Distrito Federal. Los bienes muebles e intangibles que se adquieran a un costo menor de treinta y cinco días de salario mínimo vigente en el Distrito Federal se registra contablemente como un gasto, conforme al Acuerdo por el que se emiten las Reglas Específicas del Registro y Valoración del Patrimonio, publicado el 10 de </w:t>
      </w:r>
      <w:r>
        <w:rPr>
          <w:rFonts w:asciiTheme="minorHAnsi" w:hAnsiTheme="minorHAnsi"/>
          <w:sz w:val="20"/>
          <w:szCs w:val="20"/>
        </w:rPr>
        <w:t>Enero de 2</w:t>
      </w:r>
      <w:r w:rsidRPr="000908E2">
        <w:rPr>
          <w:rFonts w:asciiTheme="minorHAnsi" w:hAnsiTheme="minorHAnsi"/>
          <w:sz w:val="20"/>
          <w:szCs w:val="20"/>
        </w:rPr>
        <w:t xml:space="preserve">012 en el Diario Oficial del Gobierno del Estado de Yucatán.     </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 </w:t>
      </w: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 </w:t>
      </w: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los porcentajes de depreciación anual aplicados en los siguientes rubros de bienes muebles:</w: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4F3223" w:rsidP="00764803">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87" type="#_x0000_t75" style="position:absolute;left:0;text-align:left;margin-left:100.65pt;margin-top:2.7pt;width:332.1pt;height:95.1pt;z-index:251663360">
            <v:imagedata r:id="rId9" o:title=""/>
          </v:shape>
          <o:OLEObject Type="Embed" ProgID="Excel.Sheet.8" ShapeID="_x0000_s1487" DrawAspect="Content" ObjectID="_1555199790" r:id="rId10"/>
        </w:pict>
      </w:r>
      <w:r w:rsidR="00764803" w:rsidRPr="000908E2">
        <w:rPr>
          <w:rFonts w:asciiTheme="minorHAnsi" w:hAnsiTheme="minorHAnsi"/>
          <w:sz w:val="20"/>
          <w:szCs w:val="20"/>
        </w:rPr>
        <w:t xml:space="preserve">    </w:t>
      </w:r>
    </w:p>
    <w:p w:rsidR="00764803" w:rsidRPr="000908E2" w:rsidRDefault="00764803" w:rsidP="00764803">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 </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 el 10 de Enero de 2012.</w: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el porcentaje de amortización anual aplicado en el siguiente rubro de activos intangibles:</w: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4F3223" w:rsidP="00764803">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488" type="#_x0000_t75" style="position:absolute;left:0;text-align:left;margin-left:125.5pt;margin-top:6.45pt;width:237.25pt;height:55.9pt;z-index:251664384">
            <v:imagedata r:id="rId11" o:title=""/>
          </v:shape>
          <o:OLEObject Type="Embed" ProgID="Excel.Sheet.8" ShapeID="_x0000_s1488" DrawAspect="Content" ObjectID="_1555199791" r:id="rId12"/>
        </w:pict>
      </w:r>
      <w:r w:rsidR="00764803" w:rsidRPr="000908E2">
        <w:rPr>
          <w:rFonts w:asciiTheme="minorHAnsi" w:hAnsiTheme="minorHAnsi"/>
          <w:sz w:val="20"/>
          <w:szCs w:val="20"/>
        </w:rPr>
        <w:t xml:space="preserve">    </w:t>
      </w:r>
    </w:p>
    <w:p w:rsidR="00764803" w:rsidRPr="000908E2" w:rsidRDefault="00764803" w:rsidP="00764803">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 </w:t>
      </w:r>
    </w:p>
    <w:p w:rsidR="00764803" w:rsidRDefault="00764803" w:rsidP="00764803">
      <w:pPr>
        <w:pStyle w:val="Textoindependiente2"/>
        <w:tabs>
          <w:tab w:val="left" w:pos="7965"/>
        </w:tabs>
        <w:rPr>
          <w:rFonts w:asciiTheme="minorHAnsi" w:hAnsiTheme="minorHAnsi"/>
          <w:sz w:val="20"/>
          <w:szCs w:val="20"/>
        </w:rPr>
      </w:pPr>
    </w:p>
    <w:p w:rsidR="00F23328" w:rsidRDefault="00F23328" w:rsidP="00764803">
      <w:pPr>
        <w:pStyle w:val="Textoindependiente2"/>
        <w:tabs>
          <w:tab w:val="left" w:pos="7965"/>
        </w:tabs>
        <w:rPr>
          <w:rFonts w:asciiTheme="minorHAnsi" w:hAnsiTheme="minorHAnsi"/>
          <w:sz w:val="20"/>
          <w:szCs w:val="20"/>
        </w:rPr>
      </w:pPr>
    </w:p>
    <w:p w:rsidR="00F23328" w:rsidRPr="000908E2" w:rsidRDefault="00F23328" w:rsidP="00764803">
      <w:pPr>
        <w:pStyle w:val="Textoindependiente2"/>
        <w:tabs>
          <w:tab w:val="left" w:pos="7965"/>
        </w:tabs>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Fideicomiso, Mandatos y Análogos.</w:t>
      </w:r>
    </w:p>
    <w:p w:rsidR="00764803" w:rsidRPr="000908E2" w:rsidRDefault="00764803" w:rsidP="00764803">
      <w:pPr>
        <w:pStyle w:val="Textoindependiente2"/>
        <w:tabs>
          <w:tab w:val="left" w:pos="7965"/>
        </w:tabs>
        <w:rPr>
          <w:rFonts w:asciiTheme="minorHAnsi" w:hAnsiTheme="minorHAnsi"/>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El Secretario de Administración y Finanzas, en representación del Gobernador Constitucional del Estado de Yucatán, suscribió el contrato de fideicomiso No. 80553, número de inversión 1063907, con la institución Nacional Financiera S.N.C., como fiduciaria y como fideicomitente el Gobierno del Estado de Yucatán, representado por la Secretaría de Administración y Finanzas.</w:t>
      </w:r>
    </w:p>
    <w:p w:rsidR="00764803" w:rsidRPr="000908E2" w:rsidRDefault="00764803" w:rsidP="00764803">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764803" w:rsidRPr="000908E2" w:rsidRDefault="00764803" w:rsidP="00764803">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sz w:val="20"/>
          <w:szCs w:val="20"/>
        </w:rPr>
        <w:t>Como resultado de los remanentes de efectivo disponibles de los ejercicios subsecuentes, el Comité Técnico del FIGAROSY autorizó para los</w:t>
      </w:r>
      <w:r>
        <w:rPr>
          <w:rFonts w:asciiTheme="minorHAnsi" w:hAnsiTheme="minorHAnsi"/>
          <w:sz w:val="20"/>
          <w:szCs w:val="20"/>
        </w:rPr>
        <w:t xml:space="preserve"> ejercicios 2010, 2011, 2012,</w:t>
      </w:r>
      <w:r w:rsidRPr="000908E2">
        <w:rPr>
          <w:rFonts w:asciiTheme="minorHAnsi" w:hAnsiTheme="minorHAnsi"/>
          <w:sz w:val="20"/>
          <w:szCs w:val="20"/>
        </w:rPr>
        <w:t xml:space="preserve"> 2013</w:t>
      </w:r>
      <w:r>
        <w:rPr>
          <w:rFonts w:asciiTheme="minorHAnsi" w:hAnsiTheme="minorHAnsi"/>
          <w:sz w:val="20"/>
          <w:szCs w:val="20"/>
        </w:rPr>
        <w:t xml:space="preserve"> y 2014</w:t>
      </w:r>
      <w:r w:rsidRPr="000908E2">
        <w:rPr>
          <w:rFonts w:asciiTheme="minorHAnsi" w:hAnsiTheme="minorHAnsi"/>
          <w:sz w:val="20"/>
          <w:szCs w:val="20"/>
        </w:rPr>
        <w:t>, la reinversión de estos remanentes y sus rendimientos, utilizando el mismo instrumento de inversión a un plazo de 91 días, lo que ha generado rendimientos adicionales de conformidad con la instrucción del Comité Técnico del FIGAROSY. El instrumento financiero que se utiliza es la tasa de Inversiones a Plazo con Rendimiento Liquidable al Vencimiento (PRLV).</w:t>
      </w:r>
    </w:p>
    <w:p w:rsidR="00764803" w:rsidRDefault="00764803" w:rsidP="00764803">
      <w:pPr>
        <w:pStyle w:val="Prrafodelista"/>
        <w:tabs>
          <w:tab w:val="left" w:pos="0"/>
          <w:tab w:val="left" w:pos="284"/>
        </w:tabs>
        <w:ind w:left="0"/>
        <w:jc w:val="both"/>
        <w:rPr>
          <w:rFonts w:asciiTheme="minorHAnsi" w:hAnsiTheme="minorHAnsi"/>
          <w:sz w:val="20"/>
          <w:szCs w:val="20"/>
        </w:rPr>
      </w:pPr>
    </w:p>
    <w:p w:rsidR="00F23328" w:rsidRPr="000908E2" w:rsidRDefault="00F23328" w:rsidP="00764803">
      <w:pPr>
        <w:pStyle w:val="Prrafodelista"/>
        <w:tabs>
          <w:tab w:val="left" w:pos="0"/>
          <w:tab w:val="left" w:pos="284"/>
        </w:tabs>
        <w:ind w:left="0"/>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Reporte de la Recaudación.</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C</w:t>
      </w:r>
      <w:r w:rsidR="00387CD1">
        <w:rPr>
          <w:rFonts w:asciiTheme="minorHAnsi" w:hAnsiTheme="minorHAnsi"/>
          <w:sz w:val="20"/>
          <w:szCs w:val="20"/>
        </w:rPr>
        <w:t>onforme al oficio No. SAF/0084/2017</w:t>
      </w:r>
      <w:r>
        <w:rPr>
          <w:rFonts w:asciiTheme="minorHAnsi" w:hAnsiTheme="minorHAnsi"/>
          <w:sz w:val="20"/>
          <w:szCs w:val="20"/>
        </w:rPr>
        <w:t xml:space="preserve"> de fecha </w:t>
      </w:r>
      <w:r w:rsidR="00387CD1">
        <w:rPr>
          <w:rFonts w:asciiTheme="minorHAnsi" w:hAnsiTheme="minorHAnsi"/>
          <w:sz w:val="20"/>
          <w:szCs w:val="20"/>
        </w:rPr>
        <w:t>6</w:t>
      </w:r>
      <w:r w:rsidRPr="000908E2">
        <w:rPr>
          <w:rFonts w:asciiTheme="minorHAnsi" w:hAnsiTheme="minorHAnsi"/>
          <w:sz w:val="20"/>
          <w:szCs w:val="20"/>
        </w:rPr>
        <w:t xml:space="preserve"> de Enero de 201</w:t>
      </w:r>
      <w:r w:rsidR="007F4FD7">
        <w:rPr>
          <w:rFonts w:asciiTheme="minorHAnsi" w:hAnsiTheme="minorHAnsi"/>
          <w:sz w:val="20"/>
          <w:szCs w:val="20"/>
        </w:rPr>
        <w:t>7</w:t>
      </w:r>
      <w:r w:rsidRPr="000908E2">
        <w:rPr>
          <w:rFonts w:asciiTheme="minorHAnsi" w:hAnsiTheme="minorHAnsi"/>
          <w:sz w:val="20"/>
          <w:szCs w:val="20"/>
        </w:rPr>
        <w:t>, suscrito por el Secretario de Administración y Finanzas, se aut</w:t>
      </w:r>
      <w:r>
        <w:rPr>
          <w:rFonts w:asciiTheme="minorHAnsi" w:hAnsiTheme="minorHAnsi"/>
          <w:sz w:val="20"/>
          <w:szCs w:val="20"/>
        </w:rPr>
        <w:t xml:space="preserve">orizó erogar la cantidad de $ </w:t>
      </w:r>
      <w:r w:rsidR="00387CD1">
        <w:rPr>
          <w:rFonts w:asciiTheme="minorHAnsi" w:hAnsiTheme="minorHAnsi"/>
          <w:sz w:val="20"/>
          <w:szCs w:val="20"/>
        </w:rPr>
        <w:t>39´768,809</w:t>
      </w:r>
      <w:r>
        <w:rPr>
          <w:rFonts w:asciiTheme="minorHAnsi" w:hAnsiTheme="minorHAnsi"/>
          <w:sz w:val="20"/>
          <w:szCs w:val="20"/>
        </w:rPr>
        <w:t xml:space="preserve">.00, durante el ejercicio </w:t>
      </w:r>
      <w:r w:rsidR="007F4FD7">
        <w:rPr>
          <w:rFonts w:asciiTheme="minorHAnsi" w:hAnsiTheme="minorHAnsi"/>
          <w:sz w:val="20"/>
          <w:szCs w:val="20"/>
        </w:rPr>
        <w:t>2017</w:t>
      </w:r>
      <w:r w:rsidRPr="000908E2">
        <w:rPr>
          <w:rFonts w:asciiTheme="minorHAnsi" w:hAnsiTheme="minorHAnsi"/>
          <w:sz w:val="20"/>
          <w:szCs w:val="20"/>
        </w:rPr>
        <w:t>. Por tal motivo, El Fideicomiso Garante de la Orquesta Sinfónica de Yucatán estimó recaudar los ingresos de la siguiente forma:</w:t>
      </w:r>
    </w:p>
    <w:p w:rsidR="00764803" w:rsidRDefault="00764803" w:rsidP="00764803">
      <w:pPr>
        <w:jc w:val="both"/>
        <w:rPr>
          <w:rFonts w:asciiTheme="minorHAnsi" w:hAnsiTheme="minorHAnsi"/>
          <w:sz w:val="20"/>
          <w:szCs w:val="20"/>
        </w:rPr>
      </w:pPr>
    </w:p>
    <w:p w:rsidR="00F23328" w:rsidRDefault="00F23328" w:rsidP="00764803">
      <w:pPr>
        <w:jc w:val="both"/>
        <w:rPr>
          <w:rFonts w:asciiTheme="minorHAnsi" w:hAnsiTheme="minorHAnsi"/>
          <w:sz w:val="20"/>
          <w:szCs w:val="20"/>
        </w:rPr>
      </w:pPr>
    </w:p>
    <w:p w:rsidR="00F23328" w:rsidRPr="000908E2" w:rsidRDefault="00F23328"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p>
    <w:tbl>
      <w:tblPr>
        <w:tblW w:w="6720" w:type="dxa"/>
        <w:jc w:val="center"/>
        <w:tblInd w:w="55" w:type="dxa"/>
        <w:tblCellMar>
          <w:left w:w="70" w:type="dxa"/>
          <w:right w:w="70" w:type="dxa"/>
        </w:tblCellMar>
        <w:tblLook w:val="04A0" w:firstRow="1" w:lastRow="0" w:firstColumn="1" w:lastColumn="0" w:noHBand="0" w:noVBand="1"/>
      </w:tblPr>
      <w:tblGrid>
        <w:gridCol w:w="5020"/>
        <w:gridCol w:w="1700"/>
      </w:tblGrid>
      <w:tr w:rsidR="00764803" w:rsidTr="00764803">
        <w:trPr>
          <w:trHeight w:val="507"/>
          <w:jc w:val="center"/>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4803" w:rsidRDefault="00764803" w:rsidP="00764803">
            <w:pPr>
              <w:jc w:val="center"/>
              <w:rPr>
                <w:rFonts w:ascii="Calibri" w:hAnsi="Calibri" w:cs="Tahoma"/>
                <w:b/>
                <w:bCs/>
                <w:color w:val="000000"/>
                <w:sz w:val="20"/>
                <w:szCs w:val="20"/>
              </w:rPr>
            </w:pPr>
            <w:r>
              <w:rPr>
                <w:rFonts w:ascii="Calibri" w:hAnsi="Calibri" w:cs="Tahoma"/>
                <w:b/>
                <w:bCs/>
                <w:color w:val="000000"/>
                <w:sz w:val="20"/>
                <w:szCs w:val="20"/>
              </w:rPr>
              <w:t>F u e n t e    d e    I n g r e s o s</w:t>
            </w:r>
          </w:p>
        </w:tc>
        <w:tc>
          <w:tcPr>
            <w:tcW w:w="1700" w:type="dxa"/>
            <w:tcBorders>
              <w:top w:val="single" w:sz="4" w:space="0" w:color="auto"/>
              <w:left w:val="nil"/>
              <w:bottom w:val="single" w:sz="4" w:space="0" w:color="auto"/>
              <w:right w:val="single" w:sz="4" w:space="0" w:color="auto"/>
            </w:tcBorders>
            <w:shd w:val="clear" w:color="000000" w:fill="FFFFFF"/>
            <w:vAlign w:val="bottom"/>
            <w:hideMark/>
          </w:tcPr>
          <w:p w:rsidR="00764803" w:rsidRDefault="00764803" w:rsidP="00764803">
            <w:pPr>
              <w:jc w:val="center"/>
              <w:rPr>
                <w:rFonts w:ascii="Calibri" w:hAnsi="Calibri" w:cs="Tahoma"/>
                <w:b/>
                <w:bCs/>
                <w:color w:val="000000"/>
                <w:sz w:val="20"/>
                <w:szCs w:val="20"/>
              </w:rPr>
            </w:pPr>
            <w:r>
              <w:rPr>
                <w:rFonts w:ascii="Calibri" w:hAnsi="Calibri" w:cs="Tahoma"/>
                <w:b/>
                <w:bCs/>
                <w:color w:val="000000"/>
                <w:sz w:val="20"/>
                <w:szCs w:val="20"/>
              </w:rPr>
              <w:t>Ley de Ingresos Estimada</w:t>
            </w:r>
          </w:p>
        </w:tc>
      </w:tr>
      <w:tr w:rsidR="00764803" w:rsidTr="00387CD1">
        <w:trPr>
          <w:trHeight w:val="555"/>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b/>
                <w:bCs/>
                <w:color w:val="000000"/>
                <w:sz w:val="20"/>
                <w:szCs w:val="20"/>
                <w:u w:val="single"/>
              </w:rPr>
            </w:pPr>
            <w:r>
              <w:rPr>
                <w:rFonts w:ascii="Calibri" w:hAnsi="Calibri" w:cs="Tahoma"/>
                <w:b/>
                <w:bCs/>
                <w:color w:val="000000"/>
                <w:sz w:val="20"/>
                <w:szCs w:val="20"/>
                <w:u w:val="single"/>
              </w:rPr>
              <w:t>INGRESOS POR VENTA DE BIENES Y SERVICIOS DE ORGANISMOS DESCENTRALIZADOS</w:t>
            </w:r>
          </w:p>
        </w:tc>
        <w:tc>
          <w:tcPr>
            <w:tcW w:w="1700" w:type="dxa"/>
            <w:tcBorders>
              <w:top w:val="nil"/>
              <w:left w:val="nil"/>
              <w:bottom w:val="nil"/>
              <w:right w:val="nil"/>
            </w:tcBorders>
            <w:shd w:val="clear" w:color="000000" w:fill="FFFFFF"/>
          </w:tcPr>
          <w:p w:rsidR="00764803" w:rsidRDefault="00764803" w:rsidP="00387CD1">
            <w:pPr>
              <w:jc w:val="right"/>
              <w:rPr>
                <w:rFonts w:ascii="Calibri" w:hAnsi="Calibri" w:cs="Tahoma"/>
                <w:color w:val="000000"/>
                <w:sz w:val="20"/>
                <w:szCs w:val="20"/>
              </w:rPr>
            </w:pP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Ingreso por venta de localidades de la OSY</w:t>
            </w: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Temporada XXV</w:t>
            </w:r>
          </w:p>
        </w:tc>
        <w:tc>
          <w:tcPr>
            <w:tcW w:w="1700" w:type="dxa"/>
            <w:tcBorders>
              <w:top w:val="nil"/>
              <w:left w:val="nil"/>
              <w:bottom w:val="nil"/>
              <w:right w:val="nil"/>
            </w:tcBorders>
            <w:shd w:val="clear" w:color="000000" w:fill="FFFFFF"/>
            <w:hideMark/>
          </w:tcPr>
          <w:p w:rsidR="00764803" w:rsidRDefault="00764803" w:rsidP="00387CD1">
            <w:pPr>
              <w:jc w:val="right"/>
              <w:rPr>
                <w:rFonts w:ascii="Calibri" w:hAnsi="Calibri" w:cs="Tahoma"/>
                <w:color w:val="000000"/>
                <w:sz w:val="20"/>
                <w:szCs w:val="20"/>
              </w:rPr>
            </w:pPr>
            <w:r>
              <w:rPr>
                <w:rFonts w:ascii="Calibri" w:hAnsi="Calibri" w:cs="Tahoma"/>
                <w:color w:val="000000"/>
                <w:sz w:val="20"/>
                <w:szCs w:val="20"/>
              </w:rPr>
              <w:t xml:space="preserve"> $       </w:t>
            </w:r>
            <w:r w:rsidR="00387CD1">
              <w:rPr>
                <w:rFonts w:ascii="Calibri" w:hAnsi="Calibri" w:cs="Tahoma"/>
                <w:color w:val="000000"/>
                <w:sz w:val="20"/>
                <w:szCs w:val="20"/>
              </w:rPr>
              <w:t>3</w:t>
            </w:r>
            <w:r>
              <w:rPr>
                <w:rFonts w:ascii="Calibri" w:hAnsi="Calibri" w:cs="Tahoma"/>
                <w:color w:val="000000"/>
                <w:sz w:val="20"/>
                <w:szCs w:val="20"/>
              </w:rPr>
              <w:t>,</w:t>
            </w:r>
            <w:r w:rsidR="00387CD1">
              <w:rPr>
                <w:rFonts w:ascii="Calibri" w:hAnsi="Calibri" w:cs="Tahoma"/>
                <w:color w:val="000000"/>
                <w:sz w:val="20"/>
                <w:szCs w:val="20"/>
              </w:rPr>
              <w:t>140,000</w:t>
            </w:r>
            <w:r>
              <w:rPr>
                <w:rFonts w:ascii="Calibri" w:hAnsi="Calibri" w:cs="Tahoma"/>
                <w:color w:val="000000"/>
                <w:sz w:val="20"/>
                <w:szCs w:val="20"/>
              </w:rPr>
              <w:t xml:space="preserve">.00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Temporada XXVI</w:t>
            </w:r>
          </w:p>
        </w:tc>
        <w:tc>
          <w:tcPr>
            <w:tcW w:w="1700" w:type="dxa"/>
            <w:tcBorders>
              <w:top w:val="nil"/>
              <w:left w:val="nil"/>
              <w:bottom w:val="single" w:sz="4" w:space="0" w:color="auto"/>
              <w:right w:val="nil"/>
            </w:tcBorders>
            <w:shd w:val="clear" w:color="000000" w:fill="FFFFFF"/>
            <w:hideMark/>
          </w:tcPr>
          <w:p w:rsidR="00764803" w:rsidRDefault="00387CD1" w:rsidP="00387CD1">
            <w:pPr>
              <w:jc w:val="right"/>
              <w:rPr>
                <w:rFonts w:ascii="Calibri" w:hAnsi="Calibri" w:cs="Tahoma"/>
                <w:color w:val="000000"/>
                <w:sz w:val="20"/>
                <w:szCs w:val="20"/>
              </w:rPr>
            </w:pPr>
            <w:r>
              <w:rPr>
                <w:rFonts w:ascii="Calibri" w:hAnsi="Calibri" w:cs="Tahoma"/>
                <w:color w:val="000000"/>
                <w:sz w:val="20"/>
                <w:szCs w:val="20"/>
              </w:rPr>
              <w:t>1</w:t>
            </w:r>
            <w:r w:rsidR="00764803">
              <w:rPr>
                <w:rFonts w:ascii="Calibri" w:hAnsi="Calibri" w:cs="Tahoma"/>
                <w:color w:val="000000"/>
                <w:sz w:val="20"/>
                <w:szCs w:val="20"/>
              </w:rPr>
              <w:t>,</w:t>
            </w:r>
            <w:r>
              <w:rPr>
                <w:rFonts w:ascii="Calibri" w:hAnsi="Calibri" w:cs="Tahoma"/>
                <w:color w:val="000000"/>
                <w:sz w:val="20"/>
                <w:szCs w:val="20"/>
              </w:rPr>
              <w:t>360,000</w:t>
            </w:r>
            <w:r w:rsidR="00764803">
              <w:rPr>
                <w:rFonts w:ascii="Calibri" w:hAnsi="Calibri" w:cs="Tahoma"/>
                <w:color w:val="000000"/>
                <w:sz w:val="20"/>
                <w:szCs w:val="20"/>
              </w:rPr>
              <w:t>.00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Suma Ingreso por venta de localidades de la OSY</w:t>
            </w:r>
          </w:p>
        </w:tc>
        <w:tc>
          <w:tcPr>
            <w:tcW w:w="1700" w:type="dxa"/>
            <w:tcBorders>
              <w:top w:val="nil"/>
              <w:left w:val="nil"/>
              <w:bottom w:val="dotDotDash" w:sz="4" w:space="0" w:color="auto"/>
              <w:right w:val="nil"/>
            </w:tcBorders>
            <w:shd w:val="clear" w:color="000000" w:fill="FFFFFF"/>
            <w:hideMark/>
          </w:tcPr>
          <w:p w:rsidR="00764803" w:rsidRDefault="00764803" w:rsidP="00387CD1">
            <w:pPr>
              <w:jc w:val="right"/>
              <w:rPr>
                <w:rFonts w:ascii="Calibri" w:hAnsi="Calibri" w:cs="Tahoma"/>
                <w:color w:val="000000"/>
                <w:sz w:val="20"/>
                <w:szCs w:val="20"/>
              </w:rPr>
            </w:pPr>
            <w:r>
              <w:rPr>
                <w:rFonts w:ascii="Calibri" w:hAnsi="Calibri" w:cs="Tahoma"/>
                <w:color w:val="000000"/>
                <w:sz w:val="20"/>
                <w:szCs w:val="20"/>
              </w:rPr>
              <w:t xml:space="preserve"> $       </w:t>
            </w:r>
            <w:r w:rsidR="00387CD1">
              <w:rPr>
                <w:rFonts w:ascii="Calibri" w:hAnsi="Calibri" w:cs="Tahoma"/>
                <w:color w:val="000000"/>
                <w:sz w:val="20"/>
                <w:szCs w:val="20"/>
              </w:rPr>
              <w:t>4,500,000</w:t>
            </w:r>
            <w:r>
              <w:rPr>
                <w:rFonts w:ascii="Calibri" w:hAnsi="Calibri" w:cs="Tahoma"/>
                <w:color w:val="000000"/>
                <w:sz w:val="20"/>
                <w:szCs w:val="20"/>
              </w:rPr>
              <w:t xml:space="preserve">.00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Intereses ganados de valores</w:t>
            </w:r>
          </w:p>
        </w:tc>
        <w:tc>
          <w:tcPr>
            <w:tcW w:w="170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xml:space="preserve">Rendimiento </w:t>
            </w:r>
            <w:proofErr w:type="spellStart"/>
            <w:r>
              <w:rPr>
                <w:rFonts w:ascii="Calibri" w:hAnsi="Calibri" w:cs="Tahoma"/>
                <w:color w:val="000000"/>
                <w:sz w:val="20"/>
                <w:szCs w:val="20"/>
              </w:rPr>
              <w:t>Nafin</w:t>
            </w:r>
            <w:proofErr w:type="spellEnd"/>
            <w:r>
              <w:rPr>
                <w:rFonts w:ascii="Calibri" w:hAnsi="Calibri" w:cs="Tahoma"/>
                <w:color w:val="000000"/>
                <w:sz w:val="20"/>
                <w:szCs w:val="20"/>
              </w:rPr>
              <w:t xml:space="preserve"> Concentradora</w:t>
            </w:r>
          </w:p>
        </w:tc>
        <w:tc>
          <w:tcPr>
            <w:tcW w:w="1700" w:type="dxa"/>
            <w:tcBorders>
              <w:top w:val="nil"/>
              <w:left w:val="nil"/>
              <w:bottom w:val="nil"/>
              <w:right w:val="nil"/>
            </w:tcBorders>
            <w:shd w:val="clear" w:color="000000" w:fill="FFFFFF"/>
            <w:hideMark/>
          </w:tcPr>
          <w:p w:rsidR="00764803" w:rsidRDefault="00764803" w:rsidP="00387CD1">
            <w:pPr>
              <w:jc w:val="right"/>
              <w:rPr>
                <w:rFonts w:ascii="Calibri" w:hAnsi="Calibri" w:cs="Tahoma"/>
                <w:color w:val="000000"/>
                <w:sz w:val="20"/>
                <w:szCs w:val="20"/>
              </w:rPr>
            </w:pPr>
            <w:r>
              <w:rPr>
                <w:rFonts w:ascii="Calibri" w:hAnsi="Calibri" w:cs="Tahoma"/>
                <w:color w:val="000000"/>
                <w:sz w:val="20"/>
                <w:szCs w:val="20"/>
              </w:rPr>
              <w:t xml:space="preserve"> $             </w:t>
            </w:r>
            <w:r w:rsidR="00387CD1">
              <w:rPr>
                <w:rFonts w:ascii="Calibri" w:hAnsi="Calibri" w:cs="Tahoma"/>
                <w:color w:val="000000"/>
                <w:sz w:val="20"/>
                <w:szCs w:val="20"/>
              </w:rPr>
              <w:t>52,517</w:t>
            </w:r>
            <w:r>
              <w:rPr>
                <w:rFonts w:ascii="Calibri" w:hAnsi="Calibri" w:cs="Tahoma"/>
                <w:color w:val="000000"/>
                <w:sz w:val="20"/>
                <w:szCs w:val="20"/>
              </w:rPr>
              <w:t xml:space="preserve">.00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Rendimiento Gastos Corriente</w:t>
            </w:r>
          </w:p>
        </w:tc>
        <w:tc>
          <w:tcPr>
            <w:tcW w:w="1700" w:type="dxa"/>
            <w:tcBorders>
              <w:top w:val="nil"/>
              <w:left w:val="nil"/>
              <w:bottom w:val="nil"/>
              <w:right w:val="nil"/>
            </w:tcBorders>
            <w:shd w:val="clear" w:color="000000" w:fill="FFFFFF"/>
            <w:hideMark/>
          </w:tcPr>
          <w:p w:rsidR="00764803" w:rsidRDefault="00387CD1" w:rsidP="00764803">
            <w:pPr>
              <w:jc w:val="right"/>
              <w:rPr>
                <w:rFonts w:ascii="Calibri" w:hAnsi="Calibri" w:cs="Tahoma"/>
                <w:color w:val="000000"/>
                <w:sz w:val="20"/>
                <w:szCs w:val="20"/>
              </w:rPr>
            </w:pPr>
            <w:r>
              <w:rPr>
                <w:rFonts w:ascii="Calibri" w:hAnsi="Calibri" w:cs="Tahoma"/>
                <w:color w:val="000000"/>
                <w:sz w:val="20"/>
                <w:szCs w:val="20"/>
              </w:rPr>
              <w:t>2,022</w:t>
            </w:r>
            <w:r w:rsidR="00764803">
              <w:rPr>
                <w:rFonts w:ascii="Calibri" w:hAnsi="Calibri" w:cs="Tahoma"/>
                <w:color w:val="000000"/>
                <w:sz w:val="20"/>
                <w:szCs w:val="20"/>
              </w:rPr>
              <w:t>.00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Rendimiento Nomina</w:t>
            </w:r>
          </w:p>
        </w:tc>
        <w:tc>
          <w:tcPr>
            <w:tcW w:w="1700" w:type="dxa"/>
            <w:tcBorders>
              <w:top w:val="nil"/>
              <w:left w:val="nil"/>
              <w:bottom w:val="nil"/>
              <w:right w:val="nil"/>
            </w:tcBorders>
            <w:shd w:val="clear" w:color="000000" w:fill="FFFFFF"/>
            <w:hideMark/>
          </w:tcPr>
          <w:p w:rsidR="00764803" w:rsidRDefault="00387CD1" w:rsidP="00764803">
            <w:pPr>
              <w:jc w:val="right"/>
              <w:rPr>
                <w:rFonts w:ascii="Calibri" w:hAnsi="Calibri" w:cs="Tahoma"/>
                <w:color w:val="000000"/>
                <w:sz w:val="20"/>
                <w:szCs w:val="20"/>
              </w:rPr>
            </w:pPr>
            <w:r>
              <w:rPr>
                <w:rFonts w:ascii="Calibri" w:hAnsi="Calibri" w:cs="Tahoma"/>
                <w:color w:val="000000"/>
                <w:sz w:val="20"/>
                <w:szCs w:val="20"/>
              </w:rPr>
              <w:t>348</w:t>
            </w:r>
            <w:r w:rsidR="00764803">
              <w:rPr>
                <w:rFonts w:ascii="Calibri" w:hAnsi="Calibri" w:cs="Tahoma"/>
                <w:color w:val="000000"/>
                <w:sz w:val="20"/>
                <w:szCs w:val="20"/>
              </w:rPr>
              <w:t>.00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Suma Intereses ganados de valores</w:t>
            </w:r>
          </w:p>
        </w:tc>
        <w:tc>
          <w:tcPr>
            <w:tcW w:w="1700" w:type="dxa"/>
            <w:tcBorders>
              <w:top w:val="single" w:sz="4" w:space="0" w:color="auto"/>
              <w:left w:val="nil"/>
              <w:bottom w:val="dotDotDash" w:sz="4" w:space="0" w:color="auto"/>
              <w:right w:val="nil"/>
            </w:tcBorders>
            <w:shd w:val="clear" w:color="000000" w:fill="FFFFFF"/>
            <w:hideMark/>
          </w:tcPr>
          <w:p w:rsidR="00764803" w:rsidRDefault="00764803" w:rsidP="00387CD1">
            <w:pPr>
              <w:jc w:val="right"/>
              <w:rPr>
                <w:rFonts w:ascii="Calibri" w:hAnsi="Calibri" w:cs="Tahoma"/>
                <w:color w:val="000000"/>
                <w:sz w:val="20"/>
                <w:szCs w:val="20"/>
              </w:rPr>
            </w:pPr>
            <w:r>
              <w:rPr>
                <w:rFonts w:ascii="Calibri" w:hAnsi="Calibri" w:cs="Tahoma"/>
                <w:color w:val="000000"/>
                <w:sz w:val="20"/>
                <w:szCs w:val="20"/>
              </w:rPr>
              <w:t xml:space="preserve"> $             </w:t>
            </w:r>
            <w:r w:rsidR="00387CD1">
              <w:rPr>
                <w:rFonts w:ascii="Calibri" w:hAnsi="Calibri" w:cs="Tahoma"/>
                <w:color w:val="000000"/>
                <w:sz w:val="20"/>
                <w:szCs w:val="20"/>
              </w:rPr>
              <w:t>54,887</w:t>
            </w:r>
            <w:r>
              <w:rPr>
                <w:rFonts w:ascii="Calibri" w:hAnsi="Calibri" w:cs="Tahoma"/>
                <w:color w:val="000000"/>
                <w:sz w:val="20"/>
                <w:szCs w:val="20"/>
              </w:rPr>
              <w:t xml:space="preserve">.00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Otros ingresos</w:t>
            </w: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Aportación POSY</w:t>
            </w:r>
          </w:p>
        </w:tc>
        <w:tc>
          <w:tcPr>
            <w:tcW w:w="1700" w:type="dxa"/>
            <w:tcBorders>
              <w:top w:val="nil"/>
              <w:left w:val="nil"/>
              <w:bottom w:val="nil"/>
              <w:right w:val="nil"/>
            </w:tcBorders>
            <w:shd w:val="clear" w:color="000000" w:fill="FFFFFF"/>
            <w:hideMark/>
          </w:tcPr>
          <w:p w:rsidR="00764803" w:rsidRDefault="00764803" w:rsidP="00387CD1">
            <w:pPr>
              <w:jc w:val="right"/>
              <w:rPr>
                <w:rFonts w:ascii="Calibri" w:hAnsi="Calibri" w:cs="Tahoma"/>
                <w:color w:val="000000"/>
                <w:sz w:val="20"/>
                <w:szCs w:val="20"/>
              </w:rPr>
            </w:pPr>
            <w:r>
              <w:rPr>
                <w:rFonts w:ascii="Calibri" w:hAnsi="Calibri" w:cs="Tahoma"/>
                <w:color w:val="000000"/>
                <w:sz w:val="20"/>
                <w:szCs w:val="20"/>
              </w:rPr>
              <w:t>$</w:t>
            </w:r>
            <w:r w:rsidR="0048732A">
              <w:rPr>
                <w:rFonts w:ascii="Calibri" w:hAnsi="Calibri" w:cs="Tahoma"/>
                <w:color w:val="000000"/>
                <w:sz w:val="20"/>
                <w:szCs w:val="20"/>
              </w:rPr>
              <w:t xml:space="preserve">      </w:t>
            </w:r>
            <w:r>
              <w:rPr>
                <w:rFonts w:ascii="Calibri" w:hAnsi="Calibri" w:cs="Tahoma"/>
                <w:color w:val="000000"/>
                <w:sz w:val="20"/>
                <w:szCs w:val="20"/>
              </w:rPr>
              <w:t>4,</w:t>
            </w:r>
            <w:r w:rsidR="00387CD1">
              <w:rPr>
                <w:rFonts w:ascii="Calibri" w:hAnsi="Calibri" w:cs="Tahoma"/>
                <w:color w:val="000000"/>
                <w:sz w:val="20"/>
                <w:szCs w:val="20"/>
              </w:rPr>
              <w:t>000</w:t>
            </w:r>
            <w:r>
              <w:rPr>
                <w:rFonts w:ascii="Calibri" w:hAnsi="Calibri" w:cs="Tahoma"/>
                <w:color w:val="000000"/>
                <w:sz w:val="20"/>
                <w:szCs w:val="20"/>
              </w:rPr>
              <w:t>,000.00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Patrocinio</w:t>
            </w:r>
          </w:p>
        </w:tc>
        <w:tc>
          <w:tcPr>
            <w:tcW w:w="1700" w:type="dxa"/>
            <w:tcBorders>
              <w:top w:val="nil"/>
              <w:left w:val="nil"/>
              <w:bottom w:val="nil"/>
              <w:right w:val="nil"/>
            </w:tcBorders>
            <w:shd w:val="clear" w:color="000000" w:fill="FFFFFF"/>
            <w:hideMark/>
          </w:tcPr>
          <w:p w:rsidR="00764803" w:rsidRDefault="00387CD1" w:rsidP="00764803">
            <w:pPr>
              <w:jc w:val="right"/>
              <w:rPr>
                <w:rFonts w:ascii="Calibri" w:hAnsi="Calibri" w:cs="Tahoma"/>
                <w:color w:val="000000"/>
                <w:sz w:val="20"/>
                <w:szCs w:val="20"/>
              </w:rPr>
            </w:pPr>
            <w:r>
              <w:rPr>
                <w:rFonts w:ascii="Calibri" w:hAnsi="Calibri" w:cs="Tahoma"/>
                <w:color w:val="000000"/>
                <w:sz w:val="20"/>
                <w:szCs w:val="20"/>
              </w:rPr>
              <w:t>84</w:t>
            </w:r>
            <w:r w:rsidR="00764803">
              <w:rPr>
                <w:rFonts w:ascii="Calibri" w:hAnsi="Calibri" w:cs="Tahoma"/>
                <w:color w:val="000000"/>
                <w:sz w:val="20"/>
                <w:szCs w:val="20"/>
              </w:rPr>
              <w:t>,000.00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Presentaciones de la OSY</w:t>
            </w:r>
          </w:p>
        </w:tc>
        <w:tc>
          <w:tcPr>
            <w:tcW w:w="1700" w:type="dxa"/>
            <w:tcBorders>
              <w:top w:val="nil"/>
              <w:left w:val="nil"/>
              <w:bottom w:val="nil"/>
              <w:right w:val="nil"/>
            </w:tcBorders>
            <w:shd w:val="clear" w:color="000000" w:fill="FFFFFF"/>
            <w:hideMark/>
          </w:tcPr>
          <w:p w:rsidR="00764803" w:rsidRDefault="00387CD1" w:rsidP="00387CD1">
            <w:pPr>
              <w:jc w:val="right"/>
              <w:rPr>
                <w:rFonts w:ascii="Calibri" w:hAnsi="Calibri" w:cs="Tahoma"/>
                <w:color w:val="000000"/>
                <w:sz w:val="20"/>
                <w:szCs w:val="20"/>
              </w:rPr>
            </w:pPr>
            <w:r>
              <w:rPr>
                <w:rFonts w:ascii="Calibri" w:hAnsi="Calibri" w:cs="Tahoma"/>
                <w:color w:val="000000"/>
                <w:sz w:val="20"/>
                <w:szCs w:val="20"/>
              </w:rPr>
              <w:t>255</w:t>
            </w:r>
            <w:r w:rsidR="00764803">
              <w:rPr>
                <w:rFonts w:ascii="Calibri" w:hAnsi="Calibri" w:cs="Tahoma"/>
                <w:color w:val="000000"/>
                <w:sz w:val="20"/>
                <w:szCs w:val="20"/>
              </w:rPr>
              <w:t>,</w:t>
            </w:r>
            <w:r>
              <w:rPr>
                <w:rFonts w:ascii="Calibri" w:hAnsi="Calibri" w:cs="Tahoma"/>
                <w:color w:val="000000"/>
                <w:sz w:val="20"/>
                <w:szCs w:val="20"/>
              </w:rPr>
              <w:t>600</w:t>
            </w:r>
            <w:r w:rsidR="00764803">
              <w:rPr>
                <w:rFonts w:ascii="Calibri" w:hAnsi="Calibri" w:cs="Tahoma"/>
                <w:color w:val="000000"/>
                <w:sz w:val="20"/>
                <w:szCs w:val="20"/>
              </w:rPr>
              <w:t>.00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Ingreso por comisión venta en línea</w:t>
            </w:r>
          </w:p>
        </w:tc>
        <w:tc>
          <w:tcPr>
            <w:tcW w:w="1700" w:type="dxa"/>
            <w:tcBorders>
              <w:top w:val="nil"/>
              <w:left w:val="nil"/>
              <w:bottom w:val="nil"/>
              <w:right w:val="nil"/>
            </w:tcBorders>
            <w:shd w:val="clear" w:color="000000" w:fill="FFFFFF"/>
            <w:hideMark/>
          </w:tcPr>
          <w:p w:rsidR="00764803" w:rsidRDefault="00387CD1" w:rsidP="00764803">
            <w:pPr>
              <w:jc w:val="right"/>
              <w:rPr>
                <w:rFonts w:ascii="Calibri" w:hAnsi="Calibri" w:cs="Tahoma"/>
                <w:color w:val="000000"/>
                <w:sz w:val="20"/>
                <w:szCs w:val="20"/>
              </w:rPr>
            </w:pPr>
            <w:r>
              <w:rPr>
                <w:rFonts w:ascii="Calibri" w:hAnsi="Calibri" w:cs="Tahoma"/>
                <w:color w:val="000000"/>
                <w:sz w:val="20"/>
                <w:szCs w:val="20"/>
              </w:rPr>
              <w:t>24,0</w:t>
            </w:r>
            <w:r w:rsidR="00764803">
              <w:rPr>
                <w:rFonts w:ascii="Calibri" w:hAnsi="Calibri" w:cs="Tahoma"/>
                <w:color w:val="000000"/>
                <w:sz w:val="20"/>
                <w:szCs w:val="20"/>
              </w:rPr>
              <w:t>00.00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Boletos cortesía POSY</w:t>
            </w: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60,000.00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xml:space="preserve">Ingresos por venta de </w:t>
            </w:r>
            <w:proofErr w:type="spellStart"/>
            <w:r>
              <w:rPr>
                <w:rFonts w:ascii="Calibri" w:hAnsi="Calibri" w:cs="Tahoma"/>
                <w:color w:val="000000"/>
                <w:sz w:val="20"/>
                <w:szCs w:val="20"/>
              </w:rPr>
              <w:t>albún</w:t>
            </w:r>
            <w:proofErr w:type="spellEnd"/>
            <w:r>
              <w:rPr>
                <w:rFonts w:ascii="Calibri" w:hAnsi="Calibri" w:cs="Tahoma"/>
                <w:color w:val="000000"/>
                <w:sz w:val="20"/>
                <w:szCs w:val="20"/>
              </w:rPr>
              <w:t xml:space="preserve"> discográfico de la OSY</w:t>
            </w:r>
          </w:p>
        </w:tc>
        <w:tc>
          <w:tcPr>
            <w:tcW w:w="1700" w:type="dxa"/>
            <w:tcBorders>
              <w:top w:val="nil"/>
              <w:left w:val="nil"/>
              <w:bottom w:val="nil"/>
              <w:right w:val="nil"/>
            </w:tcBorders>
            <w:shd w:val="clear" w:color="000000" w:fill="FFFFFF"/>
            <w:hideMark/>
          </w:tcPr>
          <w:p w:rsidR="00764803" w:rsidRDefault="00387CD1" w:rsidP="00764803">
            <w:pPr>
              <w:jc w:val="right"/>
              <w:rPr>
                <w:rFonts w:ascii="Calibri" w:hAnsi="Calibri" w:cs="Tahoma"/>
                <w:color w:val="000000"/>
                <w:sz w:val="20"/>
                <w:szCs w:val="20"/>
              </w:rPr>
            </w:pPr>
            <w:r>
              <w:rPr>
                <w:rFonts w:ascii="Calibri" w:hAnsi="Calibri" w:cs="Tahoma"/>
                <w:color w:val="000000"/>
                <w:sz w:val="20"/>
                <w:szCs w:val="20"/>
              </w:rPr>
              <w:t>5,4</w:t>
            </w:r>
            <w:r w:rsidR="00764803">
              <w:rPr>
                <w:rFonts w:ascii="Calibri" w:hAnsi="Calibri" w:cs="Tahoma"/>
                <w:color w:val="000000"/>
                <w:sz w:val="20"/>
                <w:szCs w:val="20"/>
              </w:rPr>
              <w:t>00.00</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Suma Otros ingresos</w:t>
            </w:r>
          </w:p>
        </w:tc>
        <w:tc>
          <w:tcPr>
            <w:tcW w:w="1700" w:type="dxa"/>
            <w:tcBorders>
              <w:top w:val="single" w:sz="4" w:space="0" w:color="auto"/>
              <w:left w:val="nil"/>
              <w:bottom w:val="dotDotDash" w:sz="4" w:space="0" w:color="auto"/>
              <w:right w:val="nil"/>
            </w:tcBorders>
            <w:shd w:val="clear" w:color="000000" w:fill="FFFFFF"/>
            <w:hideMark/>
          </w:tcPr>
          <w:p w:rsidR="00764803" w:rsidRDefault="00764803" w:rsidP="00387CD1">
            <w:pPr>
              <w:jc w:val="right"/>
              <w:rPr>
                <w:rFonts w:ascii="Calibri" w:hAnsi="Calibri" w:cs="Tahoma"/>
                <w:color w:val="000000"/>
                <w:sz w:val="20"/>
                <w:szCs w:val="20"/>
              </w:rPr>
            </w:pPr>
            <w:r>
              <w:rPr>
                <w:rFonts w:ascii="Calibri" w:hAnsi="Calibri" w:cs="Tahoma"/>
                <w:color w:val="000000"/>
                <w:sz w:val="20"/>
                <w:szCs w:val="20"/>
              </w:rPr>
              <w:t xml:space="preserve"> $       </w:t>
            </w:r>
            <w:r w:rsidR="00387CD1">
              <w:rPr>
                <w:rFonts w:ascii="Calibri" w:hAnsi="Calibri" w:cs="Tahoma"/>
                <w:color w:val="000000"/>
                <w:sz w:val="20"/>
                <w:szCs w:val="20"/>
              </w:rPr>
              <w:t>4,429</w:t>
            </w:r>
            <w:r>
              <w:rPr>
                <w:rFonts w:ascii="Calibri" w:hAnsi="Calibri" w:cs="Tahoma"/>
                <w:color w:val="000000"/>
                <w:sz w:val="20"/>
                <w:szCs w:val="20"/>
              </w:rPr>
              <w:t>,</w:t>
            </w:r>
            <w:r w:rsidR="00387CD1">
              <w:rPr>
                <w:rFonts w:ascii="Calibri" w:hAnsi="Calibri" w:cs="Tahoma"/>
                <w:color w:val="000000"/>
                <w:sz w:val="20"/>
                <w:szCs w:val="20"/>
              </w:rPr>
              <w:t>000</w:t>
            </w:r>
            <w:r>
              <w:rPr>
                <w:rFonts w:ascii="Calibri" w:hAnsi="Calibri" w:cs="Tahoma"/>
                <w:color w:val="000000"/>
                <w:sz w:val="20"/>
                <w:szCs w:val="20"/>
              </w:rPr>
              <w:t xml:space="preserve">.00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b/>
                <w:bCs/>
                <w:color w:val="000000"/>
                <w:sz w:val="20"/>
                <w:szCs w:val="20"/>
              </w:rPr>
            </w:pPr>
            <w:r>
              <w:rPr>
                <w:rFonts w:ascii="Calibri" w:hAnsi="Calibri" w:cs="Tahoma"/>
                <w:b/>
                <w:bCs/>
                <w:color w:val="000000"/>
                <w:sz w:val="20"/>
                <w:szCs w:val="20"/>
              </w:rPr>
              <w:t>SUMA INGRESOS POR VENTA DE BIENES Y SERVICIOS</w:t>
            </w:r>
          </w:p>
        </w:tc>
        <w:tc>
          <w:tcPr>
            <w:tcW w:w="1700" w:type="dxa"/>
            <w:tcBorders>
              <w:top w:val="single" w:sz="4" w:space="0" w:color="auto"/>
              <w:left w:val="nil"/>
              <w:bottom w:val="dotDotDash" w:sz="4" w:space="0" w:color="auto"/>
              <w:right w:val="nil"/>
            </w:tcBorders>
            <w:shd w:val="clear" w:color="000000" w:fill="FFFFFF"/>
            <w:hideMark/>
          </w:tcPr>
          <w:p w:rsidR="00764803" w:rsidRDefault="00764803" w:rsidP="00387CD1">
            <w:pPr>
              <w:jc w:val="right"/>
              <w:rPr>
                <w:rFonts w:ascii="Calibri" w:hAnsi="Calibri" w:cs="Tahoma"/>
                <w:b/>
                <w:bCs/>
                <w:color w:val="000000"/>
                <w:sz w:val="20"/>
                <w:szCs w:val="20"/>
              </w:rPr>
            </w:pPr>
            <w:r>
              <w:rPr>
                <w:rFonts w:ascii="Calibri" w:hAnsi="Calibri" w:cs="Tahoma"/>
                <w:b/>
                <w:bCs/>
                <w:color w:val="000000"/>
                <w:sz w:val="20"/>
                <w:szCs w:val="20"/>
              </w:rPr>
              <w:t xml:space="preserve"> $       </w:t>
            </w:r>
            <w:r w:rsidR="00387CD1">
              <w:rPr>
                <w:rFonts w:ascii="Calibri" w:hAnsi="Calibri" w:cs="Tahoma"/>
                <w:b/>
                <w:bCs/>
                <w:color w:val="000000"/>
                <w:sz w:val="20"/>
                <w:szCs w:val="20"/>
              </w:rPr>
              <w:t>8</w:t>
            </w:r>
            <w:r>
              <w:rPr>
                <w:rFonts w:ascii="Calibri" w:hAnsi="Calibri" w:cs="Tahoma"/>
                <w:b/>
                <w:bCs/>
                <w:color w:val="000000"/>
                <w:sz w:val="20"/>
                <w:szCs w:val="20"/>
              </w:rPr>
              <w:t>,</w:t>
            </w:r>
            <w:r w:rsidR="00387CD1">
              <w:rPr>
                <w:rFonts w:ascii="Calibri" w:hAnsi="Calibri" w:cs="Tahoma"/>
                <w:b/>
                <w:bCs/>
                <w:color w:val="000000"/>
                <w:sz w:val="20"/>
                <w:szCs w:val="20"/>
              </w:rPr>
              <w:t>983,887</w:t>
            </w:r>
            <w:r>
              <w:rPr>
                <w:rFonts w:ascii="Calibri" w:hAnsi="Calibri" w:cs="Tahoma"/>
                <w:b/>
                <w:bCs/>
                <w:color w:val="000000"/>
                <w:sz w:val="20"/>
                <w:szCs w:val="20"/>
              </w:rPr>
              <w:t xml:space="preserve">.00 </w:t>
            </w:r>
          </w:p>
        </w:tc>
      </w:tr>
      <w:tr w:rsidR="00764803" w:rsidTr="00764803">
        <w:trPr>
          <w:trHeight w:val="252"/>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w:t>
            </w:r>
          </w:p>
          <w:p w:rsidR="00F23328" w:rsidRDefault="00F23328" w:rsidP="00764803">
            <w:pPr>
              <w:rPr>
                <w:rFonts w:ascii="Calibri" w:hAnsi="Calibri" w:cs="Tahoma"/>
                <w:color w:val="000000"/>
                <w:sz w:val="20"/>
                <w:szCs w:val="20"/>
              </w:rPr>
            </w:pPr>
          </w:p>
          <w:p w:rsidR="00F23328" w:rsidRDefault="00F23328" w:rsidP="00764803">
            <w:pPr>
              <w:rPr>
                <w:rFonts w:ascii="Calibri" w:hAnsi="Calibri" w:cs="Tahoma"/>
                <w:color w:val="000000"/>
                <w:sz w:val="20"/>
                <w:szCs w:val="20"/>
              </w:rPr>
            </w:pPr>
          </w:p>
          <w:p w:rsidR="00F23328" w:rsidRDefault="00F23328" w:rsidP="00764803">
            <w:pPr>
              <w:rPr>
                <w:rFonts w:ascii="Calibri" w:hAnsi="Calibri" w:cs="Tahoma"/>
                <w:color w:val="000000"/>
                <w:sz w:val="20"/>
                <w:szCs w:val="20"/>
              </w:rPr>
            </w:pP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390"/>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b/>
                <w:bCs/>
                <w:color w:val="000000"/>
                <w:sz w:val="20"/>
                <w:szCs w:val="20"/>
                <w:u w:val="single"/>
              </w:rPr>
            </w:pPr>
            <w:r>
              <w:rPr>
                <w:rFonts w:ascii="Calibri" w:hAnsi="Calibri" w:cs="Tahoma"/>
                <w:b/>
                <w:bCs/>
                <w:color w:val="000000"/>
                <w:sz w:val="20"/>
                <w:szCs w:val="20"/>
                <w:u w:val="single"/>
              </w:rPr>
              <w:t>TRANSFERENCIAS AL RESTO DEL SECTOR PÚBLICO</w:t>
            </w: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255"/>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Transferencias internas y asignaciones</w:t>
            </w:r>
          </w:p>
        </w:tc>
        <w:tc>
          <w:tcPr>
            <w:tcW w:w="1700" w:type="dxa"/>
            <w:tcBorders>
              <w:top w:val="nil"/>
              <w:left w:val="nil"/>
              <w:bottom w:val="nil"/>
              <w:right w:val="nil"/>
            </w:tcBorders>
            <w:shd w:val="clear" w:color="000000" w:fill="FFFFFF"/>
            <w:hideMark/>
          </w:tcPr>
          <w:p w:rsidR="00764803" w:rsidRDefault="00764803" w:rsidP="00764803">
            <w:pPr>
              <w:jc w:val="right"/>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465"/>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Subsidio programado</w:t>
            </w:r>
          </w:p>
        </w:tc>
        <w:tc>
          <w:tcPr>
            <w:tcW w:w="1700" w:type="dxa"/>
            <w:tcBorders>
              <w:top w:val="nil"/>
              <w:left w:val="nil"/>
              <w:bottom w:val="nil"/>
              <w:right w:val="nil"/>
            </w:tcBorders>
            <w:shd w:val="clear" w:color="000000" w:fill="FFFFFF"/>
            <w:hideMark/>
          </w:tcPr>
          <w:p w:rsidR="00764803" w:rsidRDefault="00764803" w:rsidP="00387CD1">
            <w:pPr>
              <w:jc w:val="right"/>
              <w:rPr>
                <w:rFonts w:ascii="Calibri" w:hAnsi="Calibri" w:cs="Tahoma"/>
                <w:color w:val="000000"/>
                <w:sz w:val="20"/>
                <w:szCs w:val="20"/>
              </w:rPr>
            </w:pPr>
            <w:r>
              <w:rPr>
                <w:rFonts w:ascii="Calibri" w:hAnsi="Calibri" w:cs="Tahoma"/>
                <w:color w:val="000000"/>
                <w:sz w:val="20"/>
                <w:szCs w:val="20"/>
              </w:rPr>
              <w:t>$</w:t>
            </w:r>
            <w:r w:rsidR="0048732A">
              <w:rPr>
                <w:rFonts w:ascii="Calibri" w:hAnsi="Calibri" w:cs="Tahoma"/>
                <w:color w:val="000000"/>
                <w:sz w:val="20"/>
                <w:szCs w:val="20"/>
              </w:rPr>
              <w:t xml:space="preserve">   </w:t>
            </w:r>
            <w:r w:rsidR="00387CD1">
              <w:rPr>
                <w:rFonts w:ascii="Calibri" w:hAnsi="Calibri" w:cs="Tahoma"/>
                <w:color w:val="000000"/>
                <w:sz w:val="20"/>
                <w:szCs w:val="20"/>
              </w:rPr>
              <w:t>30,784,922</w:t>
            </w:r>
            <w:r>
              <w:rPr>
                <w:rFonts w:ascii="Calibri" w:hAnsi="Calibri" w:cs="Tahoma"/>
                <w:color w:val="000000"/>
                <w:sz w:val="20"/>
                <w:szCs w:val="20"/>
              </w:rPr>
              <w:t>.00</w:t>
            </w:r>
          </w:p>
        </w:tc>
      </w:tr>
      <w:tr w:rsidR="00764803" w:rsidTr="00764803">
        <w:trPr>
          <w:trHeight w:val="360"/>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b/>
                <w:bCs/>
                <w:color w:val="000000"/>
                <w:sz w:val="20"/>
                <w:szCs w:val="20"/>
              </w:rPr>
            </w:pPr>
            <w:r>
              <w:rPr>
                <w:rFonts w:ascii="Calibri" w:hAnsi="Calibri" w:cs="Tahoma"/>
                <w:b/>
                <w:bCs/>
                <w:color w:val="000000"/>
                <w:sz w:val="20"/>
                <w:szCs w:val="20"/>
              </w:rPr>
              <w:t>SUMA PARTICIPACIONES, APORTACIONES, TRANSFERENCIAS</w:t>
            </w:r>
          </w:p>
        </w:tc>
        <w:tc>
          <w:tcPr>
            <w:tcW w:w="1700" w:type="dxa"/>
            <w:tcBorders>
              <w:top w:val="single" w:sz="4" w:space="0" w:color="auto"/>
              <w:left w:val="nil"/>
              <w:bottom w:val="single" w:sz="4" w:space="0" w:color="auto"/>
              <w:right w:val="nil"/>
            </w:tcBorders>
            <w:shd w:val="clear" w:color="000000" w:fill="FFFFFF"/>
            <w:hideMark/>
          </w:tcPr>
          <w:p w:rsidR="00764803" w:rsidRDefault="00764803" w:rsidP="00387CD1">
            <w:pPr>
              <w:jc w:val="right"/>
              <w:rPr>
                <w:rFonts w:ascii="Calibri" w:hAnsi="Calibri" w:cs="Tahoma"/>
                <w:b/>
                <w:bCs/>
                <w:color w:val="000000"/>
                <w:sz w:val="20"/>
                <w:szCs w:val="20"/>
              </w:rPr>
            </w:pPr>
            <w:r>
              <w:rPr>
                <w:rFonts w:ascii="Calibri" w:hAnsi="Calibri" w:cs="Tahoma"/>
                <w:b/>
                <w:bCs/>
                <w:color w:val="000000"/>
                <w:sz w:val="20"/>
                <w:szCs w:val="20"/>
              </w:rPr>
              <w:t>$</w:t>
            </w:r>
            <w:r w:rsidR="0048732A">
              <w:rPr>
                <w:rFonts w:ascii="Calibri" w:hAnsi="Calibri" w:cs="Tahoma"/>
                <w:b/>
                <w:bCs/>
                <w:color w:val="000000"/>
                <w:sz w:val="20"/>
                <w:szCs w:val="20"/>
              </w:rPr>
              <w:t xml:space="preserve">  </w:t>
            </w:r>
            <w:r w:rsidR="00387CD1">
              <w:rPr>
                <w:rFonts w:ascii="Calibri" w:hAnsi="Calibri" w:cs="Tahoma"/>
                <w:b/>
                <w:bCs/>
                <w:color w:val="000000"/>
                <w:sz w:val="20"/>
                <w:szCs w:val="20"/>
              </w:rPr>
              <w:t>30</w:t>
            </w:r>
            <w:r>
              <w:rPr>
                <w:rFonts w:ascii="Calibri" w:hAnsi="Calibri" w:cs="Tahoma"/>
                <w:b/>
                <w:bCs/>
                <w:color w:val="000000"/>
                <w:sz w:val="20"/>
                <w:szCs w:val="20"/>
              </w:rPr>
              <w:t>,</w:t>
            </w:r>
            <w:r w:rsidR="00387CD1">
              <w:rPr>
                <w:rFonts w:ascii="Calibri" w:hAnsi="Calibri" w:cs="Tahoma"/>
                <w:b/>
                <w:bCs/>
                <w:color w:val="000000"/>
                <w:sz w:val="20"/>
                <w:szCs w:val="20"/>
              </w:rPr>
              <w:t>784,922</w:t>
            </w:r>
            <w:r>
              <w:rPr>
                <w:rFonts w:ascii="Calibri" w:hAnsi="Calibri" w:cs="Tahoma"/>
                <w:b/>
                <w:bCs/>
                <w:color w:val="000000"/>
                <w:sz w:val="20"/>
                <w:szCs w:val="20"/>
              </w:rPr>
              <w:t>.00</w:t>
            </w:r>
          </w:p>
        </w:tc>
      </w:tr>
      <w:tr w:rsidR="00764803" w:rsidTr="00764803">
        <w:trPr>
          <w:trHeight w:val="255"/>
          <w:jc w:val="center"/>
        </w:trPr>
        <w:tc>
          <w:tcPr>
            <w:tcW w:w="502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w:t>
            </w:r>
          </w:p>
        </w:tc>
        <w:tc>
          <w:tcPr>
            <w:tcW w:w="1700" w:type="dxa"/>
            <w:tcBorders>
              <w:top w:val="nil"/>
              <w:left w:val="nil"/>
              <w:bottom w:val="nil"/>
              <w:right w:val="nil"/>
            </w:tcBorders>
            <w:shd w:val="clear" w:color="000000" w:fill="FFFFFF"/>
            <w:hideMark/>
          </w:tcPr>
          <w:p w:rsidR="00764803" w:rsidRDefault="00764803" w:rsidP="00764803">
            <w:pPr>
              <w:rPr>
                <w:rFonts w:ascii="Calibri" w:hAnsi="Calibri" w:cs="Tahoma"/>
                <w:color w:val="000000"/>
                <w:sz w:val="20"/>
                <w:szCs w:val="20"/>
              </w:rPr>
            </w:pPr>
            <w:r>
              <w:rPr>
                <w:rFonts w:ascii="Calibri" w:hAnsi="Calibri" w:cs="Tahoma"/>
                <w:color w:val="000000"/>
                <w:sz w:val="20"/>
                <w:szCs w:val="20"/>
              </w:rPr>
              <w:t> </w:t>
            </w:r>
          </w:p>
        </w:tc>
      </w:tr>
      <w:tr w:rsidR="00764803" w:rsidTr="00764803">
        <w:trPr>
          <w:trHeight w:val="274"/>
          <w:jc w:val="center"/>
        </w:trPr>
        <w:tc>
          <w:tcPr>
            <w:tcW w:w="5020" w:type="dxa"/>
            <w:tcBorders>
              <w:top w:val="nil"/>
              <w:left w:val="nil"/>
              <w:bottom w:val="nil"/>
              <w:right w:val="nil"/>
            </w:tcBorders>
            <w:shd w:val="clear" w:color="000000" w:fill="FFFFFF"/>
            <w:hideMark/>
          </w:tcPr>
          <w:p w:rsidR="00764803" w:rsidRDefault="00764803" w:rsidP="00764803">
            <w:pPr>
              <w:jc w:val="right"/>
              <w:rPr>
                <w:rFonts w:ascii="Calibri" w:hAnsi="Calibri" w:cs="Tahoma"/>
                <w:b/>
                <w:bCs/>
                <w:color w:val="000000"/>
                <w:sz w:val="20"/>
                <w:szCs w:val="20"/>
              </w:rPr>
            </w:pPr>
            <w:r>
              <w:rPr>
                <w:rFonts w:ascii="Calibri" w:hAnsi="Calibri" w:cs="Tahoma"/>
                <w:b/>
                <w:bCs/>
                <w:color w:val="000000"/>
                <w:sz w:val="20"/>
                <w:szCs w:val="20"/>
              </w:rPr>
              <w:t>GRAN TOTAL</w:t>
            </w:r>
          </w:p>
        </w:tc>
        <w:tc>
          <w:tcPr>
            <w:tcW w:w="1700" w:type="dxa"/>
            <w:tcBorders>
              <w:top w:val="nil"/>
              <w:left w:val="nil"/>
              <w:bottom w:val="double" w:sz="6" w:space="0" w:color="auto"/>
              <w:right w:val="nil"/>
            </w:tcBorders>
            <w:shd w:val="clear" w:color="000000" w:fill="FFFFFF"/>
            <w:hideMark/>
          </w:tcPr>
          <w:p w:rsidR="00764803" w:rsidRDefault="00764803" w:rsidP="00387CD1">
            <w:pPr>
              <w:rPr>
                <w:rFonts w:ascii="Calibri" w:hAnsi="Calibri" w:cs="Tahoma"/>
                <w:b/>
                <w:bCs/>
                <w:color w:val="000000"/>
                <w:sz w:val="20"/>
                <w:szCs w:val="20"/>
              </w:rPr>
            </w:pPr>
            <w:r>
              <w:rPr>
                <w:rFonts w:ascii="Calibri" w:hAnsi="Calibri" w:cs="Tahoma"/>
                <w:b/>
                <w:bCs/>
                <w:color w:val="000000"/>
                <w:sz w:val="20"/>
                <w:szCs w:val="20"/>
              </w:rPr>
              <w:t xml:space="preserve"> $     </w:t>
            </w:r>
            <w:r w:rsidR="00387CD1">
              <w:rPr>
                <w:rFonts w:ascii="Calibri" w:hAnsi="Calibri" w:cs="Tahoma"/>
                <w:b/>
                <w:bCs/>
                <w:color w:val="000000"/>
                <w:sz w:val="20"/>
                <w:szCs w:val="20"/>
              </w:rPr>
              <w:t>39,768,809</w:t>
            </w:r>
            <w:r>
              <w:rPr>
                <w:rFonts w:ascii="Calibri" w:hAnsi="Calibri" w:cs="Tahoma"/>
                <w:b/>
                <w:bCs/>
                <w:color w:val="000000"/>
                <w:sz w:val="20"/>
                <w:szCs w:val="20"/>
              </w:rPr>
              <w:t xml:space="preserve">.00 </w:t>
            </w:r>
          </w:p>
        </w:tc>
      </w:tr>
    </w:tbl>
    <w:p w:rsidR="00764803" w:rsidRPr="000908E2" w:rsidRDefault="00764803" w:rsidP="00764803">
      <w:pPr>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Información sobre la Deuda y el Reporte Analítico de la Deuda.</w:t>
      </w:r>
    </w:p>
    <w:p w:rsidR="00764803" w:rsidRPr="000908E2" w:rsidRDefault="00764803"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El Fideicomiso Garante de la Orquesta Sinfónica de Yucatán no ha generado información alguna sobre deuda pública por el periodo del 1</w:t>
      </w:r>
      <w:r>
        <w:rPr>
          <w:rFonts w:asciiTheme="minorHAnsi" w:hAnsiTheme="minorHAnsi"/>
          <w:sz w:val="20"/>
          <w:szCs w:val="20"/>
        </w:rPr>
        <w:t xml:space="preserve"> de </w:t>
      </w:r>
      <w:r w:rsidR="007F4FD7">
        <w:rPr>
          <w:rFonts w:asciiTheme="minorHAnsi" w:hAnsiTheme="minorHAnsi"/>
          <w:sz w:val="20"/>
          <w:szCs w:val="20"/>
        </w:rPr>
        <w:t>Enero al 31 de Marzo de 2017</w:t>
      </w:r>
      <w:r w:rsidRPr="000908E2">
        <w:rPr>
          <w:rFonts w:asciiTheme="minorHAnsi" w:hAnsiTheme="minorHAnsi"/>
          <w:sz w:val="20"/>
          <w:szCs w:val="20"/>
        </w:rPr>
        <w:t xml:space="preserve">. </w:t>
      </w:r>
    </w:p>
    <w:p w:rsidR="00764803" w:rsidRPr="000908E2" w:rsidRDefault="00764803" w:rsidP="00764803">
      <w:pPr>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Calificaciones otorgadas.</w:t>
      </w:r>
    </w:p>
    <w:p w:rsidR="00764803" w:rsidRPr="000908E2" w:rsidRDefault="00764803"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El Fideicomiso Garante de la Orquesta Sinfónica de Yucatán no ha obtenido calificación crediticia alguna por el periodo del 1</w:t>
      </w:r>
      <w:r>
        <w:rPr>
          <w:rFonts w:asciiTheme="minorHAnsi" w:hAnsiTheme="minorHAnsi"/>
          <w:sz w:val="20"/>
          <w:szCs w:val="20"/>
        </w:rPr>
        <w:t xml:space="preserve"> de Enero</w:t>
      </w:r>
      <w:r w:rsidRPr="000908E2">
        <w:rPr>
          <w:rFonts w:asciiTheme="minorHAnsi" w:hAnsiTheme="minorHAnsi"/>
          <w:sz w:val="20"/>
          <w:szCs w:val="20"/>
        </w:rPr>
        <w:t xml:space="preserve"> </w:t>
      </w:r>
      <w:r w:rsidR="007F4FD7">
        <w:rPr>
          <w:rFonts w:asciiTheme="minorHAnsi" w:hAnsiTheme="minorHAnsi"/>
          <w:sz w:val="20"/>
          <w:szCs w:val="20"/>
        </w:rPr>
        <w:t>al 31 de Marzo de 2017</w:t>
      </w:r>
      <w:r w:rsidRPr="000908E2">
        <w:rPr>
          <w:rFonts w:asciiTheme="minorHAnsi" w:hAnsiTheme="minorHAnsi"/>
          <w:sz w:val="20"/>
          <w:szCs w:val="20"/>
        </w:rPr>
        <w:t xml:space="preserve">. </w:t>
      </w:r>
    </w:p>
    <w:p w:rsidR="00764803" w:rsidRPr="000908E2" w:rsidRDefault="00764803" w:rsidP="00764803">
      <w:pPr>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Proceso de Mejora.</w:t>
      </w:r>
    </w:p>
    <w:p w:rsidR="00764803" w:rsidRPr="000908E2" w:rsidRDefault="00764803"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Principales políticas de control interno:</w:t>
      </w:r>
    </w:p>
    <w:p w:rsidR="00764803" w:rsidRPr="000908E2" w:rsidRDefault="00764803" w:rsidP="00764803">
      <w:pPr>
        <w:jc w:val="both"/>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Formular un programa anual de trabajo para alinear al Plan Estatal de Desarrollo del Estado de Yucatán, así como subprogramas operativos específicos por áreas, en los que señalen las actividades que se llevarán a cabo durante el ejercicio para el logro de los objetivos del Fideicomiso Garante de la Orquesta Sinfónica de Yucatán.</w:t>
      </w: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Establecer los indicadores de desempeño, los cuales deberán ser evaluados en períodos trimestrales a fin de determinar la eficiencia y eficacia en el logro de los objetivos.</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Implementar acciones de inducción al personal de nuevo ingreso y capacitación al personal que labora en Fideicomiso Garante de la Orquesta Sinfónica de Yucatán.</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Llevar el control de asistencia diaria, mediante el registro de entradas y salidas conforme a las disposiciones legales y normativas aplicables.</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Cumplir con los requerimientos establecidos en la Ley de Adquisiciones, Arrendamientos y Prestaciones de Servicios relacionados con Bienes Muebles y demás legislación aplicable.</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Elaborar cartas de resguardos de bienes muebles al personal asignado, describiendo el tipo de bien y el número de inventario.  </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Etiquetar los nuevos bienes muebles adquiridos dentro de los treinta días.</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Efectuar conciliaciones bancarias, al menos una vez al mes, a fin de analizar los movimientos bancarios.</w:t>
      </w:r>
    </w:p>
    <w:p w:rsidR="00764803" w:rsidRPr="000908E2" w:rsidRDefault="00764803" w:rsidP="00764803">
      <w:pPr>
        <w:pStyle w:val="Prrafodelista"/>
        <w:rPr>
          <w:rFonts w:asciiTheme="minorHAnsi" w:hAnsiTheme="minorHAnsi"/>
          <w:sz w:val="20"/>
          <w:szCs w:val="20"/>
        </w:rPr>
      </w:pPr>
    </w:p>
    <w:p w:rsidR="00764803" w:rsidRPr="000908E2" w:rsidRDefault="00764803" w:rsidP="00764803">
      <w:pPr>
        <w:pStyle w:val="Prrafodelista"/>
        <w:numPr>
          <w:ilvl w:val="0"/>
          <w:numId w:val="33"/>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Contar con firmas mancomunadas para el uso de cuentas bancarias. </w:t>
      </w:r>
    </w:p>
    <w:p w:rsidR="00764803" w:rsidRDefault="00764803" w:rsidP="00764803">
      <w:pPr>
        <w:jc w:val="both"/>
        <w:rPr>
          <w:rFonts w:asciiTheme="minorHAnsi" w:hAnsiTheme="minorHAnsi"/>
          <w:sz w:val="20"/>
          <w:szCs w:val="20"/>
        </w:rPr>
      </w:pPr>
    </w:p>
    <w:p w:rsidR="00DD1095" w:rsidRDefault="00DD1095" w:rsidP="00764803">
      <w:pPr>
        <w:jc w:val="both"/>
        <w:rPr>
          <w:rFonts w:asciiTheme="minorHAnsi" w:hAnsiTheme="minorHAnsi"/>
          <w:sz w:val="20"/>
          <w:szCs w:val="20"/>
        </w:rPr>
      </w:pPr>
    </w:p>
    <w:p w:rsidR="00DD1095" w:rsidRDefault="00DD1095" w:rsidP="00764803">
      <w:pPr>
        <w:jc w:val="both"/>
        <w:rPr>
          <w:rFonts w:asciiTheme="minorHAnsi" w:hAnsiTheme="minorHAnsi"/>
          <w:sz w:val="20"/>
          <w:szCs w:val="20"/>
        </w:rPr>
      </w:pPr>
    </w:p>
    <w:p w:rsidR="00DD1095" w:rsidRPr="000908E2" w:rsidRDefault="00DD1095" w:rsidP="00764803">
      <w:pPr>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Información por Segmentos.</w:t>
      </w:r>
    </w:p>
    <w:p w:rsidR="00764803" w:rsidRPr="000908E2" w:rsidRDefault="00764803"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 xml:space="preserve">Durante el período del 1 </w:t>
      </w:r>
      <w:r>
        <w:rPr>
          <w:rFonts w:asciiTheme="minorHAnsi" w:hAnsiTheme="minorHAnsi"/>
          <w:sz w:val="20"/>
          <w:szCs w:val="20"/>
        </w:rPr>
        <w:t xml:space="preserve">de Enero al 31 </w:t>
      </w:r>
      <w:r w:rsidRPr="000908E2">
        <w:rPr>
          <w:rFonts w:asciiTheme="minorHAnsi" w:hAnsiTheme="minorHAnsi"/>
          <w:sz w:val="20"/>
          <w:szCs w:val="20"/>
        </w:rPr>
        <w:t xml:space="preserve">de </w:t>
      </w:r>
      <w:r w:rsidR="007F4FD7">
        <w:rPr>
          <w:rFonts w:asciiTheme="minorHAnsi" w:hAnsiTheme="minorHAnsi"/>
          <w:sz w:val="20"/>
          <w:szCs w:val="20"/>
        </w:rPr>
        <w:t>Marzo</w:t>
      </w:r>
      <w:r w:rsidRPr="000908E2">
        <w:rPr>
          <w:rFonts w:asciiTheme="minorHAnsi" w:hAnsiTheme="minorHAnsi"/>
          <w:sz w:val="20"/>
          <w:szCs w:val="20"/>
        </w:rPr>
        <w:t xml:space="preserve"> de 201</w:t>
      </w:r>
      <w:r w:rsidR="007F4FD7">
        <w:rPr>
          <w:rFonts w:asciiTheme="minorHAnsi" w:hAnsiTheme="minorHAnsi"/>
          <w:sz w:val="20"/>
          <w:szCs w:val="20"/>
        </w:rPr>
        <w:t>7</w:t>
      </w:r>
      <w:r w:rsidRPr="000908E2">
        <w:rPr>
          <w:rFonts w:asciiTheme="minorHAnsi" w:hAnsiTheme="minorHAnsi"/>
          <w:sz w:val="20"/>
          <w:szCs w:val="20"/>
        </w:rPr>
        <w:t>, los recursos transferidos por la Secretaría de Administración y Finanzas y los ingresos recaudados por el Fideicomiso (recursos propios), han sido aplicados de manera correcta y respetando las disposiciones legales vigentes.</w:t>
      </w:r>
    </w:p>
    <w:p w:rsidR="00764803" w:rsidRPr="000908E2" w:rsidRDefault="00764803"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Para llevar a cabo las actividades que fueron programadas por la Orquesta Sinfónica de Yucatán en el año 201</w:t>
      </w:r>
      <w:r w:rsidR="007F4FD7">
        <w:rPr>
          <w:rFonts w:asciiTheme="minorHAnsi" w:hAnsiTheme="minorHAnsi"/>
          <w:sz w:val="20"/>
          <w:szCs w:val="20"/>
        </w:rPr>
        <w:t>7</w:t>
      </w:r>
      <w:r w:rsidRPr="000908E2">
        <w:rPr>
          <w:rFonts w:asciiTheme="minorHAnsi" w:hAnsiTheme="minorHAnsi"/>
          <w:sz w:val="20"/>
          <w:szCs w:val="20"/>
        </w:rPr>
        <w:t xml:space="preserve">, se erogo la cantidad de $ </w:t>
      </w:r>
      <w:r w:rsidR="00D24A52">
        <w:rPr>
          <w:rFonts w:asciiTheme="minorHAnsi" w:hAnsiTheme="minorHAnsi"/>
          <w:sz w:val="20"/>
          <w:szCs w:val="20"/>
        </w:rPr>
        <w:t>1,880,884</w:t>
      </w:r>
      <w:r>
        <w:rPr>
          <w:rFonts w:asciiTheme="minorHAnsi" w:hAnsiTheme="minorHAnsi"/>
          <w:sz w:val="20"/>
          <w:szCs w:val="20"/>
        </w:rPr>
        <w:t>.</w:t>
      </w:r>
      <w:r w:rsidRPr="000908E2">
        <w:rPr>
          <w:rFonts w:asciiTheme="minorHAnsi" w:hAnsiTheme="minorHAnsi"/>
          <w:sz w:val="20"/>
          <w:szCs w:val="20"/>
        </w:rPr>
        <w:t>00, con el fin de realizar los eventos artísticos y la promoción de los conciertos en los medios electrónicos e impresos. P</w:t>
      </w:r>
      <w:r w:rsidR="00387CD1">
        <w:rPr>
          <w:rFonts w:asciiTheme="minorHAnsi" w:hAnsiTheme="minorHAnsi"/>
          <w:sz w:val="20"/>
          <w:szCs w:val="20"/>
        </w:rPr>
        <w:t>ara tal efecto, se realizaron 17</w:t>
      </w:r>
      <w:r w:rsidRPr="000908E2">
        <w:rPr>
          <w:rFonts w:asciiTheme="minorHAnsi" w:hAnsiTheme="minorHAnsi"/>
          <w:sz w:val="20"/>
          <w:szCs w:val="20"/>
        </w:rPr>
        <w:t xml:space="preserve"> </w:t>
      </w:r>
      <w:r>
        <w:rPr>
          <w:rFonts w:asciiTheme="minorHAnsi" w:hAnsiTheme="minorHAnsi"/>
          <w:sz w:val="20"/>
          <w:szCs w:val="20"/>
        </w:rPr>
        <w:t>conciertos de la temporada XXV</w:t>
      </w:r>
      <w:r w:rsidR="00387CD1">
        <w:rPr>
          <w:rFonts w:asciiTheme="minorHAnsi" w:hAnsiTheme="minorHAnsi"/>
          <w:sz w:val="20"/>
          <w:szCs w:val="20"/>
        </w:rPr>
        <w:t>II</w:t>
      </w:r>
      <w:r w:rsidRPr="000908E2">
        <w:rPr>
          <w:rFonts w:asciiTheme="minorHAnsi" w:hAnsiTheme="minorHAnsi"/>
          <w:sz w:val="20"/>
          <w:szCs w:val="20"/>
        </w:rPr>
        <w:t xml:space="preserve"> Enero-Junio </w:t>
      </w:r>
      <w:r w:rsidR="00387CD1">
        <w:rPr>
          <w:rFonts w:asciiTheme="minorHAnsi" w:hAnsiTheme="minorHAnsi"/>
          <w:sz w:val="20"/>
          <w:szCs w:val="20"/>
        </w:rPr>
        <w:t>2017</w:t>
      </w:r>
      <w:r w:rsidRPr="000908E2">
        <w:rPr>
          <w:rFonts w:asciiTheme="minorHAnsi" w:hAnsiTheme="minorHAnsi"/>
          <w:sz w:val="20"/>
          <w:szCs w:val="20"/>
        </w:rPr>
        <w:t xml:space="preserve"> de la Orquesta Sinfónica de Yucatán, contando con una asistencia total de </w:t>
      </w:r>
      <w:r w:rsidR="00387CD1">
        <w:rPr>
          <w:rFonts w:asciiTheme="minorHAnsi" w:hAnsiTheme="minorHAnsi"/>
          <w:sz w:val="20"/>
          <w:szCs w:val="20"/>
        </w:rPr>
        <w:t>13,023</w:t>
      </w:r>
      <w:r w:rsidRPr="000908E2">
        <w:rPr>
          <w:rFonts w:asciiTheme="minorHAnsi" w:hAnsiTheme="minorHAnsi"/>
          <w:sz w:val="20"/>
          <w:szCs w:val="20"/>
        </w:rPr>
        <w:t xml:space="preserve"> personas. El promedio de asistencia por concierto es de </w:t>
      </w:r>
      <w:r w:rsidR="00387CD1">
        <w:rPr>
          <w:rFonts w:asciiTheme="minorHAnsi" w:hAnsiTheme="minorHAnsi"/>
          <w:sz w:val="20"/>
          <w:szCs w:val="20"/>
        </w:rPr>
        <w:t>766</w:t>
      </w:r>
      <w:r w:rsidRPr="000908E2">
        <w:rPr>
          <w:rFonts w:asciiTheme="minorHAnsi" w:hAnsiTheme="minorHAnsi"/>
          <w:sz w:val="20"/>
          <w:szCs w:val="20"/>
        </w:rPr>
        <w:t xml:space="preserve"> personas, superior a la meta establecida en el Programa Operativo Anual No. 12105-Proyecto de Presentaciones de la Orquesta Sinfóni</w:t>
      </w:r>
      <w:r>
        <w:rPr>
          <w:rFonts w:asciiTheme="minorHAnsi" w:hAnsiTheme="minorHAnsi"/>
          <w:sz w:val="20"/>
          <w:szCs w:val="20"/>
        </w:rPr>
        <w:t>ca de Yucatán, que asciende a 35</w:t>
      </w:r>
      <w:r w:rsidRPr="000908E2">
        <w:rPr>
          <w:rFonts w:asciiTheme="minorHAnsi" w:hAnsiTheme="minorHAnsi"/>
          <w:sz w:val="20"/>
          <w:szCs w:val="20"/>
        </w:rPr>
        <w:t>0 personas por evento.</w:t>
      </w:r>
    </w:p>
    <w:p w:rsidR="00764803" w:rsidRPr="000908E2" w:rsidRDefault="00764803" w:rsidP="00764803">
      <w:pPr>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Eventos Posteriores al Cierre.</w:t>
      </w:r>
    </w:p>
    <w:p w:rsidR="00764803" w:rsidRPr="000908E2" w:rsidRDefault="00764803" w:rsidP="00764803">
      <w:pPr>
        <w:jc w:val="both"/>
        <w:rPr>
          <w:rFonts w:asciiTheme="minorHAnsi" w:hAnsiTheme="minorHAnsi"/>
          <w:sz w:val="20"/>
          <w:szCs w:val="20"/>
        </w:rPr>
      </w:pPr>
    </w:p>
    <w:p w:rsidR="007F4FD7" w:rsidRDefault="007F4FD7" w:rsidP="007F4FD7">
      <w:pPr>
        <w:jc w:val="both"/>
        <w:rPr>
          <w:rFonts w:asciiTheme="minorHAnsi" w:hAnsiTheme="minorHAnsi"/>
          <w:sz w:val="20"/>
          <w:szCs w:val="20"/>
        </w:rPr>
      </w:pPr>
      <w:r w:rsidRPr="000908E2">
        <w:rPr>
          <w:rFonts w:asciiTheme="minorHAnsi" w:hAnsiTheme="minorHAnsi"/>
          <w:sz w:val="20"/>
          <w:szCs w:val="20"/>
        </w:rPr>
        <w:t>El Fideicomiso Garante de la Orquesta Sinfónica de Yucatán no ha registrado operación alguna, posterior al cierre contable de la información co</w:t>
      </w:r>
      <w:r>
        <w:rPr>
          <w:rFonts w:asciiTheme="minorHAnsi" w:hAnsiTheme="minorHAnsi"/>
          <w:sz w:val="20"/>
          <w:szCs w:val="20"/>
        </w:rPr>
        <w:t>ntable, presupuestal de fecha 31</w:t>
      </w:r>
      <w:r w:rsidRPr="000908E2">
        <w:rPr>
          <w:rFonts w:asciiTheme="minorHAnsi" w:hAnsiTheme="minorHAnsi"/>
          <w:sz w:val="20"/>
          <w:szCs w:val="20"/>
        </w:rPr>
        <w:t xml:space="preserve"> de </w:t>
      </w:r>
      <w:r>
        <w:rPr>
          <w:rFonts w:asciiTheme="minorHAnsi" w:hAnsiTheme="minorHAnsi"/>
          <w:sz w:val="20"/>
          <w:szCs w:val="20"/>
        </w:rPr>
        <w:t>Marzo de 2017</w:t>
      </w:r>
      <w:r w:rsidRPr="000908E2">
        <w:rPr>
          <w:rFonts w:asciiTheme="minorHAnsi" w:hAnsiTheme="minorHAnsi"/>
          <w:sz w:val="20"/>
          <w:szCs w:val="20"/>
        </w:rPr>
        <w:t xml:space="preserve">.  </w:t>
      </w:r>
    </w:p>
    <w:p w:rsidR="00764803" w:rsidRPr="000908E2" w:rsidRDefault="00764803" w:rsidP="00764803">
      <w:pPr>
        <w:jc w:val="both"/>
        <w:rPr>
          <w:rFonts w:asciiTheme="minorHAnsi" w:hAnsiTheme="minorHAnsi"/>
          <w:sz w:val="20"/>
          <w:szCs w:val="20"/>
        </w:rPr>
      </w:pPr>
    </w:p>
    <w:p w:rsidR="00764803" w:rsidRPr="000908E2" w:rsidRDefault="00764803" w:rsidP="00764803">
      <w:pPr>
        <w:pStyle w:val="Prrafodelista"/>
        <w:numPr>
          <w:ilvl w:val="0"/>
          <w:numId w:val="28"/>
        </w:numPr>
        <w:tabs>
          <w:tab w:val="left" w:pos="426"/>
        </w:tabs>
        <w:ind w:left="0" w:firstLine="0"/>
        <w:rPr>
          <w:rFonts w:asciiTheme="minorHAnsi" w:hAnsiTheme="minorHAnsi"/>
          <w:b/>
          <w:sz w:val="20"/>
          <w:szCs w:val="20"/>
        </w:rPr>
      </w:pPr>
      <w:r w:rsidRPr="000908E2">
        <w:rPr>
          <w:rFonts w:asciiTheme="minorHAnsi" w:hAnsiTheme="minorHAnsi"/>
          <w:b/>
          <w:sz w:val="20"/>
          <w:szCs w:val="20"/>
        </w:rPr>
        <w:t>Partes relacionadas.</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Se manifiesta que no existen partes relacionadas que pudieran ejercer influencia significativa sobre la toma de decisiones y financieras y operativas.</w:t>
      </w:r>
    </w:p>
    <w:p w:rsidR="00764803" w:rsidRPr="000908E2" w:rsidRDefault="00764803" w:rsidP="00764803">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764803" w:rsidRPr="000908E2" w:rsidRDefault="00764803" w:rsidP="00764803">
      <w:pPr>
        <w:rPr>
          <w:rFonts w:asciiTheme="minorHAnsi" w:hAnsiTheme="minorHAnsi"/>
          <w:b/>
          <w:sz w:val="20"/>
          <w:szCs w:val="20"/>
        </w:rPr>
      </w:pPr>
    </w:p>
    <w:p w:rsidR="00764803" w:rsidRPr="000908E2" w:rsidRDefault="00764803" w:rsidP="00764803">
      <w:pPr>
        <w:pStyle w:val="Prrafodelista"/>
        <w:numPr>
          <w:ilvl w:val="0"/>
          <w:numId w:val="15"/>
        </w:numPr>
        <w:ind w:left="284" w:hanging="284"/>
        <w:rPr>
          <w:rFonts w:asciiTheme="minorHAnsi" w:hAnsiTheme="minorHAnsi"/>
          <w:b/>
          <w:sz w:val="20"/>
          <w:szCs w:val="20"/>
        </w:rPr>
      </w:pPr>
      <w:r w:rsidRPr="000908E2">
        <w:rPr>
          <w:rFonts w:asciiTheme="minorHAnsi" w:hAnsiTheme="minorHAnsi"/>
          <w:b/>
          <w:sz w:val="20"/>
          <w:szCs w:val="20"/>
        </w:rPr>
        <w:t>NOTAS DE DESGLOSE.</w:t>
      </w:r>
    </w:p>
    <w:p w:rsidR="00764803" w:rsidRPr="000908E2" w:rsidRDefault="00764803" w:rsidP="00764803">
      <w:pPr>
        <w:pStyle w:val="Textoindependiente2"/>
        <w:tabs>
          <w:tab w:val="left" w:pos="7965"/>
        </w:tabs>
        <w:rPr>
          <w:rFonts w:asciiTheme="minorHAnsi" w:hAnsiTheme="minorHAnsi"/>
          <w:sz w:val="20"/>
          <w:szCs w:val="20"/>
        </w:rPr>
      </w:pPr>
    </w:p>
    <w:p w:rsidR="00764803" w:rsidRPr="000908E2" w:rsidRDefault="00764803" w:rsidP="00764803">
      <w:pPr>
        <w:pStyle w:val="Prrafodelista"/>
        <w:numPr>
          <w:ilvl w:val="0"/>
          <w:numId w:val="19"/>
        </w:numPr>
        <w:tabs>
          <w:tab w:val="left" w:pos="426"/>
        </w:tabs>
        <w:ind w:left="0" w:firstLine="0"/>
        <w:rPr>
          <w:rFonts w:asciiTheme="minorHAnsi" w:hAnsiTheme="minorHAnsi"/>
          <w:b/>
          <w:sz w:val="20"/>
          <w:szCs w:val="20"/>
        </w:rPr>
      </w:pPr>
      <w:r w:rsidRPr="000908E2">
        <w:rPr>
          <w:rFonts w:asciiTheme="minorHAnsi" w:hAnsiTheme="minorHAnsi"/>
          <w:b/>
          <w:sz w:val="20"/>
          <w:szCs w:val="20"/>
        </w:rPr>
        <w:t>NOTAS AL ESTADO DE SITUACIÓN FINANCIERA.</w:t>
      </w:r>
    </w:p>
    <w:p w:rsidR="00764803" w:rsidRPr="000908E2" w:rsidRDefault="00764803" w:rsidP="00764803">
      <w:pPr>
        <w:tabs>
          <w:tab w:val="left" w:pos="426"/>
        </w:tabs>
        <w:rPr>
          <w:rFonts w:asciiTheme="minorHAnsi" w:hAnsiTheme="minorHAnsi"/>
          <w:b/>
          <w:sz w:val="20"/>
          <w:szCs w:val="20"/>
        </w:rPr>
      </w:pPr>
    </w:p>
    <w:p w:rsidR="00764803" w:rsidRPr="000908E2" w:rsidRDefault="00764803" w:rsidP="00764803">
      <w:pPr>
        <w:tabs>
          <w:tab w:val="left" w:pos="426"/>
          <w:tab w:val="left" w:pos="567"/>
        </w:tabs>
        <w:rPr>
          <w:rFonts w:asciiTheme="minorHAnsi" w:hAnsiTheme="minorHAnsi"/>
          <w:b/>
          <w:sz w:val="20"/>
          <w:szCs w:val="20"/>
        </w:rPr>
      </w:pPr>
      <w:r w:rsidRPr="000908E2">
        <w:rPr>
          <w:rFonts w:asciiTheme="minorHAnsi" w:hAnsiTheme="minorHAnsi"/>
          <w:b/>
          <w:sz w:val="20"/>
          <w:szCs w:val="20"/>
        </w:rPr>
        <w:t>1.1  Activo</w:t>
      </w:r>
    </w:p>
    <w:p w:rsidR="00764803" w:rsidRPr="000908E2" w:rsidRDefault="00764803" w:rsidP="00764803">
      <w:pPr>
        <w:tabs>
          <w:tab w:val="left" w:pos="426"/>
        </w:tabs>
        <w:rPr>
          <w:rFonts w:asciiTheme="minorHAnsi" w:hAnsiTheme="minorHAnsi"/>
          <w:b/>
          <w:sz w:val="20"/>
          <w:szCs w:val="20"/>
        </w:rPr>
      </w:pPr>
    </w:p>
    <w:p w:rsidR="00764803" w:rsidRPr="000908E2" w:rsidRDefault="00764803" w:rsidP="00764803">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1.1.1 Efectivo  y equivalentes.</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El rubro de Efectivo y equivalente de efectivo al </w:t>
      </w:r>
      <w:r>
        <w:rPr>
          <w:rFonts w:asciiTheme="minorHAnsi" w:hAnsiTheme="minorHAnsi"/>
          <w:sz w:val="20"/>
          <w:szCs w:val="20"/>
        </w:rPr>
        <w:t>31</w:t>
      </w:r>
      <w:r w:rsidRPr="000908E2">
        <w:rPr>
          <w:rFonts w:asciiTheme="minorHAnsi" w:hAnsiTheme="minorHAnsi"/>
          <w:sz w:val="20"/>
          <w:szCs w:val="20"/>
        </w:rPr>
        <w:t xml:space="preserve"> de </w:t>
      </w:r>
      <w:r w:rsidR="007F4FD7">
        <w:rPr>
          <w:rFonts w:asciiTheme="minorHAnsi" w:hAnsiTheme="minorHAnsi"/>
          <w:sz w:val="20"/>
          <w:szCs w:val="20"/>
        </w:rPr>
        <w:t>Marzo de 2017</w:t>
      </w:r>
      <w:r w:rsidRPr="000908E2">
        <w:rPr>
          <w:rFonts w:asciiTheme="minorHAnsi" w:hAnsiTheme="minorHAnsi"/>
          <w:sz w:val="20"/>
          <w:szCs w:val="20"/>
        </w:rPr>
        <w:t>, se encuentra integrado de la siguiente manera:</w:t>
      </w:r>
    </w:p>
    <w:p w:rsidR="00764803" w:rsidRPr="000908E2" w:rsidRDefault="00764803" w:rsidP="00764803">
      <w:pPr>
        <w:pStyle w:val="Prrafodelista"/>
        <w:tabs>
          <w:tab w:val="left" w:pos="426"/>
        </w:tabs>
        <w:ind w:left="0"/>
        <w:rPr>
          <w:rFonts w:asciiTheme="minorHAnsi" w:hAnsiTheme="minorHAnsi"/>
          <w:sz w:val="20"/>
          <w:szCs w:val="20"/>
        </w:rPr>
      </w:pPr>
    </w:p>
    <w:bookmarkStart w:id="0" w:name="_MON_1469524729"/>
    <w:bookmarkEnd w:id="0"/>
    <w:p w:rsidR="00764803" w:rsidRDefault="00452F0C" w:rsidP="00764803">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532" w:dyaOrig="1141">
          <v:shape id="_x0000_i1025" type="#_x0000_t75" style="width:325.8pt;height:56.4pt" o:ole="">
            <v:imagedata r:id="rId13" o:title=""/>
          </v:shape>
          <o:OLEObject Type="Embed" ProgID="Excel.Sheet.8" ShapeID="_x0000_i1025" DrawAspect="Content" ObjectID="_1555199756" r:id="rId14"/>
        </w:object>
      </w:r>
    </w:p>
    <w:p w:rsidR="00764803" w:rsidRDefault="00764803" w:rsidP="00764803">
      <w:pPr>
        <w:pStyle w:val="Prrafodelista"/>
        <w:tabs>
          <w:tab w:val="left" w:pos="426"/>
        </w:tabs>
        <w:ind w:left="0"/>
        <w:jc w:val="center"/>
        <w:rPr>
          <w:rFonts w:asciiTheme="minorHAnsi" w:hAnsiTheme="minorHAnsi" w:cs="Arial"/>
          <w:bCs/>
          <w:sz w:val="20"/>
          <w:szCs w:val="20"/>
        </w:rPr>
      </w:pPr>
    </w:p>
    <w:p w:rsidR="00764803" w:rsidRDefault="00764803" w:rsidP="00764803">
      <w:pPr>
        <w:pStyle w:val="Prrafodelista"/>
        <w:numPr>
          <w:ilvl w:val="3"/>
          <w:numId w:val="7"/>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 efectivo se integra por los fondos fijos asignados al personal de las diferentes Direcciones y Departamentos del FIGAROSY, para cubrir gastos menores confor</w:t>
      </w:r>
      <w:r w:rsidR="007B33E1">
        <w:rPr>
          <w:rFonts w:asciiTheme="minorHAnsi" w:hAnsiTheme="minorHAnsi"/>
          <w:sz w:val="20"/>
          <w:szCs w:val="20"/>
        </w:rPr>
        <w:t>me a las políticas establecidas y</w:t>
      </w:r>
      <w:r w:rsidRPr="000908E2">
        <w:rPr>
          <w:rFonts w:asciiTheme="minorHAnsi" w:hAnsiTheme="minorHAnsi"/>
          <w:sz w:val="20"/>
          <w:szCs w:val="20"/>
        </w:rPr>
        <w:t xml:space="preserve"> acumula la cantidad de </w:t>
      </w:r>
      <w:r>
        <w:rPr>
          <w:rFonts w:asciiTheme="minorHAnsi" w:hAnsiTheme="minorHAnsi"/>
          <w:sz w:val="20"/>
          <w:szCs w:val="20"/>
        </w:rPr>
        <w:t xml:space="preserve">$ </w:t>
      </w:r>
      <w:r w:rsidR="00452F0C">
        <w:rPr>
          <w:rFonts w:asciiTheme="minorHAnsi" w:hAnsiTheme="minorHAnsi"/>
          <w:sz w:val="20"/>
          <w:szCs w:val="20"/>
        </w:rPr>
        <w:t>22</w:t>
      </w:r>
      <w:r>
        <w:rPr>
          <w:rFonts w:asciiTheme="minorHAnsi" w:hAnsiTheme="minorHAnsi"/>
          <w:sz w:val="20"/>
          <w:szCs w:val="20"/>
        </w:rPr>
        <w:t>,0</w:t>
      </w:r>
      <w:r w:rsidRPr="000908E2">
        <w:rPr>
          <w:rFonts w:asciiTheme="minorHAnsi" w:hAnsiTheme="minorHAnsi"/>
          <w:sz w:val="20"/>
          <w:szCs w:val="20"/>
        </w:rPr>
        <w:t xml:space="preserve">00.00 al </w:t>
      </w:r>
      <w:r>
        <w:rPr>
          <w:rFonts w:asciiTheme="minorHAnsi" w:hAnsiTheme="minorHAnsi"/>
          <w:sz w:val="20"/>
          <w:szCs w:val="20"/>
        </w:rPr>
        <w:t>31</w:t>
      </w:r>
      <w:r w:rsidRPr="000908E2">
        <w:rPr>
          <w:rFonts w:asciiTheme="minorHAnsi" w:hAnsiTheme="minorHAnsi"/>
          <w:sz w:val="20"/>
          <w:szCs w:val="20"/>
        </w:rPr>
        <w:t xml:space="preserve"> de</w:t>
      </w:r>
      <w:r w:rsidR="007F4FD7">
        <w:rPr>
          <w:rFonts w:asciiTheme="minorHAnsi" w:hAnsiTheme="minorHAnsi"/>
          <w:sz w:val="20"/>
          <w:szCs w:val="20"/>
        </w:rPr>
        <w:t xml:space="preserve"> Marzo</w:t>
      </w:r>
      <w:r>
        <w:rPr>
          <w:rFonts w:asciiTheme="minorHAnsi" w:hAnsiTheme="minorHAnsi"/>
          <w:sz w:val="20"/>
          <w:szCs w:val="20"/>
        </w:rPr>
        <w:t xml:space="preserve"> </w:t>
      </w:r>
      <w:r w:rsidRPr="000908E2">
        <w:rPr>
          <w:rFonts w:asciiTheme="minorHAnsi" w:hAnsiTheme="minorHAnsi"/>
          <w:sz w:val="20"/>
          <w:szCs w:val="20"/>
        </w:rPr>
        <w:t>de 201</w:t>
      </w:r>
      <w:r w:rsidR="007F4FD7">
        <w:rPr>
          <w:rFonts w:asciiTheme="minorHAnsi" w:hAnsiTheme="minorHAnsi"/>
          <w:sz w:val="20"/>
          <w:szCs w:val="20"/>
        </w:rPr>
        <w:t>7</w:t>
      </w:r>
      <w:r w:rsidRPr="000908E2">
        <w:rPr>
          <w:rFonts w:asciiTheme="minorHAnsi" w:hAnsiTheme="minorHAnsi"/>
          <w:sz w:val="20"/>
          <w:szCs w:val="20"/>
        </w:rPr>
        <w:t>.</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tabs>
          <w:tab w:val="left" w:pos="284"/>
        </w:tabs>
        <w:ind w:left="0"/>
        <w:rPr>
          <w:rFonts w:asciiTheme="minorHAnsi" w:hAnsiTheme="minorHAnsi"/>
          <w:sz w:val="20"/>
          <w:szCs w:val="20"/>
        </w:rPr>
      </w:pPr>
      <w:r w:rsidRPr="000908E2">
        <w:rPr>
          <w:rFonts w:asciiTheme="minorHAnsi" w:hAnsiTheme="minorHAnsi"/>
          <w:b/>
          <w:sz w:val="20"/>
          <w:szCs w:val="20"/>
        </w:rPr>
        <w:t>1.1.1.</w:t>
      </w:r>
      <w:r>
        <w:rPr>
          <w:rFonts w:asciiTheme="minorHAnsi" w:hAnsiTheme="minorHAnsi"/>
          <w:b/>
          <w:sz w:val="20"/>
          <w:szCs w:val="20"/>
        </w:rPr>
        <w:t>2</w:t>
      </w:r>
      <w:r w:rsidRPr="000908E2">
        <w:rPr>
          <w:rFonts w:asciiTheme="minorHAnsi" w:hAnsiTheme="minorHAnsi"/>
          <w:sz w:val="20"/>
          <w:szCs w:val="20"/>
        </w:rPr>
        <w:t xml:space="preserve"> La cuenta de bancos se encuentra integrada de la siguiente manera:</w:t>
      </w:r>
    </w:p>
    <w:p w:rsidR="00764803" w:rsidRPr="000908E2" w:rsidRDefault="00764803" w:rsidP="00764803">
      <w:pPr>
        <w:pStyle w:val="Prrafodelista"/>
        <w:rPr>
          <w:rFonts w:asciiTheme="minorHAnsi" w:hAnsiTheme="minorHAnsi"/>
          <w:sz w:val="20"/>
          <w:szCs w:val="20"/>
        </w:rPr>
      </w:pPr>
    </w:p>
    <w:bookmarkStart w:id="1" w:name="_MON_1469433753"/>
    <w:bookmarkEnd w:id="1"/>
    <w:p w:rsidR="00764803" w:rsidRPr="000908E2" w:rsidRDefault="00452F0C" w:rsidP="00764803">
      <w:pPr>
        <w:pStyle w:val="Prrafodelista"/>
        <w:tabs>
          <w:tab w:val="left" w:pos="284"/>
        </w:tabs>
        <w:ind w:left="0"/>
        <w:jc w:val="center"/>
        <w:rPr>
          <w:rFonts w:asciiTheme="minorHAnsi" w:hAnsiTheme="minorHAnsi"/>
          <w:sz w:val="20"/>
          <w:szCs w:val="20"/>
        </w:rPr>
      </w:pPr>
      <w:r w:rsidRPr="000908E2">
        <w:rPr>
          <w:rFonts w:asciiTheme="minorHAnsi" w:hAnsiTheme="minorHAnsi" w:cs="Arial"/>
          <w:bCs/>
          <w:sz w:val="20"/>
          <w:szCs w:val="20"/>
        </w:rPr>
        <w:object w:dxaOrig="7523" w:dyaOrig="1664">
          <v:shape id="_x0000_i1026" type="#_x0000_t75" style="width:374.4pt;height:82.8pt" o:ole="">
            <v:imagedata r:id="rId15" o:title=""/>
          </v:shape>
          <o:OLEObject Type="Embed" ProgID="Excel.Sheet.8" ShapeID="_x0000_i1026" DrawAspect="Content" ObjectID="_1555199757" r:id="rId16"/>
        </w:object>
      </w:r>
    </w:p>
    <w:p w:rsidR="00764803" w:rsidRPr="000908E2" w:rsidRDefault="00764803" w:rsidP="00764803">
      <w:pPr>
        <w:pStyle w:val="Prrafodelista"/>
        <w:numPr>
          <w:ilvl w:val="0"/>
          <w:numId w:val="8"/>
        </w:numPr>
        <w:tabs>
          <w:tab w:val="left" w:pos="284"/>
        </w:tabs>
        <w:ind w:left="0" w:firstLine="0"/>
        <w:jc w:val="both"/>
        <w:rPr>
          <w:rFonts w:asciiTheme="minorHAnsi" w:hAnsiTheme="minorHAnsi" w:cs="Arial"/>
          <w:bCs/>
          <w:sz w:val="20"/>
          <w:szCs w:val="20"/>
        </w:rPr>
      </w:pPr>
      <w:r w:rsidRPr="000908E2">
        <w:rPr>
          <w:rFonts w:asciiTheme="minorHAnsi" w:hAnsiTheme="minorHAnsi"/>
          <w:sz w:val="20"/>
          <w:szCs w:val="20"/>
        </w:rPr>
        <w:t>La cuenta denominada Nacional Financiera Fideicomiso No. 80553 (Concentradora), corresponde a la cuenta concentradora que acumula los recursos transferidos por el Gobierno del Estado, las aportaciones que realiza el Patronato para la Orquesta Sinfónica de Yucatán, los ingresos obtenidos por la venta de localidades de los conciertos de la Orquesta Sinfónica de Yucatán, y cualquier otro donativo lícito, en efectivo, que entregue a título gratuito, cualquier persona física o moral, nacional o extranjera. Esta cuenta es</w:t>
      </w:r>
      <w:r w:rsidRPr="000908E2">
        <w:rPr>
          <w:rFonts w:asciiTheme="minorHAnsi" w:hAnsiTheme="minorHAnsi" w:cs="Arial"/>
          <w:bCs/>
          <w:sz w:val="20"/>
          <w:szCs w:val="20"/>
        </w:rPr>
        <w:t xml:space="preserve"> </w:t>
      </w:r>
      <w:r w:rsidRPr="000908E2">
        <w:rPr>
          <w:rFonts w:asciiTheme="minorHAnsi" w:hAnsiTheme="minorHAnsi"/>
          <w:sz w:val="20"/>
          <w:szCs w:val="20"/>
        </w:rPr>
        <w:t xml:space="preserve">administrada por Nacional Financiera S.N.C., conforme al contrato modificatorio suscrito el 25 de Mayo de 2009. De esta cuenta, se efectúan transferencias a las cuentas bancarias: Banorte No. 610257195 (Gasto Corriente) y Banorte No. 610257186 (Nómina), para efectuar erogaciones por la adquisición de bienes, materiales y servicios necesarios para el desarrollo propio de las funciones administrativas y de los proyectos artísticos del FIGAROSY, así como pago de sueldos del personal adscrito al FIGAROSY.  </w:t>
      </w:r>
    </w:p>
    <w:p w:rsidR="00764803" w:rsidRPr="000908E2" w:rsidRDefault="00764803" w:rsidP="00764803">
      <w:pPr>
        <w:pStyle w:val="Prrafodelista"/>
        <w:tabs>
          <w:tab w:val="left" w:pos="284"/>
        </w:tabs>
        <w:ind w:left="0"/>
        <w:jc w:val="both"/>
        <w:rPr>
          <w:rFonts w:asciiTheme="minorHAnsi" w:hAnsiTheme="minorHAnsi" w:cs="Arial"/>
          <w:bCs/>
          <w:sz w:val="20"/>
          <w:szCs w:val="20"/>
        </w:rPr>
      </w:pP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realizan pagos por compra de material de oficina, servicio de telefonía fija, contratación de artistas invitados, inserciones y spots publicitarios, entre otros.</w:t>
      </w: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0610257186 Nómina, acumula el efectivo disponible para erogar los sueldos del personal adscrito al FIGAROSY.</w:t>
      </w: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0639430485 Ingresos, acumula el efectivo por la venta de localidades de las presentaciones de la Orquesta Sinfónica de Yucatán realizadas en tarjeta de crédito o débito, y por la página web (venta en línea), y otros ingresos establecidos en el artículo 5 del decreto No. 69 donde se establece la creación del FIGAROSY y el decreto No. 160 donde se reforma, adiciona y deroga diversas disposiciones del primero, publicado en el Diario Oficial del Estado el 18 de Marzo de 2008 y 19 de Enero de 2009, respectivamente.</w:t>
      </w:r>
    </w:p>
    <w:p w:rsidR="00764803" w:rsidRPr="000908E2" w:rsidRDefault="00764803" w:rsidP="00764803">
      <w:pPr>
        <w:rPr>
          <w:rFonts w:asciiTheme="minorHAnsi" w:hAnsiTheme="minorHAnsi"/>
          <w:sz w:val="20"/>
          <w:szCs w:val="20"/>
        </w:rPr>
      </w:pPr>
    </w:p>
    <w:p w:rsidR="00764803" w:rsidRPr="000908E2" w:rsidRDefault="00764803" w:rsidP="00764803">
      <w:pPr>
        <w:pStyle w:val="Prrafodelista"/>
        <w:numPr>
          <w:ilvl w:val="2"/>
          <w:numId w:val="16"/>
        </w:numPr>
        <w:tabs>
          <w:tab w:val="left" w:pos="426"/>
          <w:tab w:val="left" w:pos="709"/>
        </w:tabs>
        <w:ind w:left="0" w:firstLine="0"/>
        <w:rPr>
          <w:rFonts w:asciiTheme="minorHAnsi" w:hAnsiTheme="minorHAnsi"/>
          <w:b/>
          <w:sz w:val="20"/>
          <w:szCs w:val="20"/>
        </w:rPr>
      </w:pPr>
      <w:r>
        <w:rPr>
          <w:rFonts w:asciiTheme="minorHAnsi" w:hAnsiTheme="minorHAnsi"/>
          <w:b/>
          <w:sz w:val="20"/>
          <w:szCs w:val="20"/>
        </w:rPr>
        <w:t xml:space="preserve"> </w:t>
      </w:r>
      <w:r w:rsidRPr="000908E2">
        <w:rPr>
          <w:rFonts w:asciiTheme="minorHAnsi" w:hAnsiTheme="minorHAnsi"/>
          <w:b/>
          <w:sz w:val="20"/>
          <w:szCs w:val="20"/>
        </w:rPr>
        <w:t>Derechos a Recibir efectivo o equivalentes y Bienes o Servicios a Recibir.</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tabs>
          <w:tab w:val="left" w:pos="426"/>
        </w:tabs>
        <w:jc w:val="both"/>
        <w:rPr>
          <w:rFonts w:asciiTheme="minorHAnsi" w:hAnsiTheme="minorHAnsi"/>
          <w:sz w:val="20"/>
          <w:szCs w:val="20"/>
        </w:rPr>
      </w:pPr>
      <w:r w:rsidRPr="000908E2">
        <w:rPr>
          <w:rFonts w:asciiTheme="minorHAnsi" w:hAnsiTheme="minorHAnsi"/>
          <w:sz w:val="20"/>
          <w:szCs w:val="20"/>
        </w:rPr>
        <w:t>El rubro de Derechos a recibir efectivo o equivalente</w:t>
      </w:r>
      <w:r>
        <w:rPr>
          <w:rFonts w:asciiTheme="minorHAnsi" w:hAnsiTheme="minorHAnsi"/>
          <w:sz w:val="20"/>
          <w:szCs w:val="20"/>
        </w:rPr>
        <w:t>s</w:t>
      </w:r>
      <w:r w:rsidRPr="000908E2">
        <w:rPr>
          <w:rFonts w:asciiTheme="minorHAnsi" w:hAnsiTheme="minorHAnsi"/>
          <w:sz w:val="20"/>
          <w:szCs w:val="20"/>
        </w:rPr>
        <w:t xml:space="preserve"> y bienes o servicios a recibir</w:t>
      </w:r>
      <w:r>
        <w:rPr>
          <w:rFonts w:asciiTheme="minorHAnsi" w:hAnsiTheme="minorHAnsi"/>
          <w:sz w:val="20"/>
          <w:szCs w:val="20"/>
        </w:rPr>
        <w:t xml:space="preserve"> al 31</w:t>
      </w:r>
      <w:r w:rsidRPr="000908E2">
        <w:rPr>
          <w:rFonts w:asciiTheme="minorHAnsi" w:hAnsiTheme="minorHAnsi"/>
          <w:sz w:val="20"/>
          <w:szCs w:val="20"/>
        </w:rPr>
        <w:t xml:space="preserve"> de </w:t>
      </w:r>
      <w:r w:rsidR="00452F0C">
        <w:rPr>
          <w:rFonts w:asciiTheme="minorHAnsi" w:hAnsiTheme="minorHAnsi"/>
          <w:sz w:val="20"/>
          <w:szCs w:val="20"/>
        </w:rPr>
        <w:t>Marzo de 2017</w:t>
      </w:r>
      <w:r w:rsidRPr="000908E2">
        <w:rPr>
          <w:rFonts w:asciiTheme="minorHAnsi" w:hAnsiTheme="minorHAnsi"/>
          <w:sz w:val="20"/>
          <w:szCs w:val="20"/>
        </w:rPr>
        <w:t>, se encuentra integrada de la siguiente manera:</w:t>
      </w:r>
    </w:p>
    <w:p w:rsidR="00764803" w:rsidRPr="000908E2" w:rsidRDefault="00764803" w:rsidP="00764803">
      <w:pPr>
        <w:pStyle w:val="Prrafodelista"/>
        <w:tabs>
          <w:tab w:val="left" w:pos="426"/>
        </w:tabs>
        <w:ind w:left="0"/>
        <w:rPr>
          <w:rFonts w:asciiTheme="minorHAnsi" w:hAnsiTheme="minorHAnsi"/>
          <w:sz w:val="20"/>
          <w:szCs w:val="20"/>
        </w:rPr>
      </w:pPr>
    </w:p>
    <w:bookmarkStart w:id="2" w:name="_MON_1498551104"/>
    <w:bookmarkEnd w:id="2"/>
    <w:p w:rsidR="00764803" w:rsidRPr="000908E2" w:rsidRDefault="00BF65E4" w:rsidP="00764803">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6790" w:dyaOrig="1158">
          <v:shape id="_x0000_i1027" type="#_x0000_t75" style="width:340.8pt;height:57.6pt" o:ole="">
            <v:imagedata r:id="rId17" o:title=""/>
          </v:shape>
          <o:OLEObject Type="Embed" ProgID="Excel.Sheet.8" ShapeID="_x0000_i1027" DrawAspect="Content" ObjectID="_1555199758" r:id="rId18"/>
        </w:object>
      </w:r>
    </w:p>
    <w:p w:rsidR="00764803" w:rsidRPr="000908E2" w:rsidRDefault="00764803" w:rsidP="00764803">
      <w:pPr>
        <w:tabs>
          <w:tab w:val="left" w:pos="426"/>
        </w:tabs>
        <w:jc w:val="both"/>
        <w:rPr>
          <w:rFonts w:asciiTheme="minorHAnsi" w:hAnsiTheme="minorHAnsi"/>
          <w:sz w:val="20"/>
          <w:szCs w:val="20"/>
        </w:rPr>
      </w:pPr>
      <w:r w:rsidRPr="000908E2">
        <w:rPr>
          <w:rFonts w:asciiTheme="minorHAnsi" w:hAnsiTheme="minorHAnsi"/>
          <w:b/>
          <w:sz w:val="20"/>
          <w:szCs w:val="20"/>
        </w:rPr>
        <w:t>1.1.2.1</w:t>
      </w:r>
      <w:r w:rsidRPr="000908E2">
        <w:rPr>
          <w:rFonts w:asciiTheme="minorHAnsi" w:hAnsiTheme="minorHAnsi"/>
          <w:sz w:val="20"/>
          <w:szCs w:val="20"/>
        </w:rPr>
        <w:t xml:space="preserve"> El rubro de Derechos a recibir efectivo </w:t>
      </w:r>
      <w:r>
        <w:rPr>
          <w:rFonts w:asciiTheme="minorHAnsi" w:hAnsiTheme="minorHAnsi"/>
          <w:sz w:val="20"/>
          <w:szCs w:val="20"/>
        </w:rPr>
        <w:t>o equivalentes al 31 de Diciembre de 2016</w:t>
      </w:r>
      <w:r w:rsidRPr="000908E2">
        <w:rPr>
          <w:rFonts w:asciiTheme="minorHAnsi" w:hAnsiTheme="minorHAnsi"/>
          <w:sz w:val="20"/>
          <w:szCs w:val="20"/>
        </w:rPr>
        <w:t>, se encuentra integrada de la siguiente manera:</w:t>
      </w:r>
    </w:p>
    <w:p w:rsidR="00764803" w:rsidRPr="000908E2" w:rsidRDefault="00764803" w:rsidP="00764803">
      <w:pPr>
        <w:pStyle w:val="Prrafodelista"/>
        <w:tabs>
          <w:tab w:val="left" w:pos="426"/>
        </w:tabs>
        <w:ind w:left="0"/>
        <w:jc w:val="both"/>
        <w:rPr>
          <w:rFonts w:asciiTheme="minorHAnsi" w:hAnsiTheme="minorHAnsi"/>
          <w:sz w:val="20"/>
          <w:szCs w:val="20"/>
        </w:rPr>
      </w:pPr>
    </w:p>
    <w:bookmarkStart w:id="3" w:name="_MON_1469525053"/>
    <w:bookmarkEnd w:id="3"/>
    <w:p w:rsidR="00764803" w:rsidRDefault="00ED6EE1" w:rsidP="0048732A">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7046" w:dyaOrig="1230">
          <v:shape id="_x0000_i1028" type="#_x0000_t75" style="width:352.8pt;height:62.4pt" o:ole="">
            <v:imagedata r:id="rId19" o:title=""/>
          </v:shape>
          <o:OLEObject Type="Embed" ProgID="Excel.Sheet.8" ShapeID="_x0000_i1028" DrawAspect="Content" ObjectID="_1555199759" r:id="rId20"/>
        </w:object>
      </w:r>
    </w:p>
    <w:p w:rsidR="00F23328" w:rsidRDefault="00F23328" w:rsidP="0048732A">
      <w:pPr>
        <w:pStyle w:val="Prrafodelista"/>
        <w:tabs>
          <w:tab w:val="left" w:pos="426"/>
        </w:tabs>
        <w:ind w:left="0"/>
        <w:jc w:val="center"/>
        <w:rPr>
          <w:rFonts w:asciiTheme="minorHAnsi" w:hAnsiTheme="minorHAnsi" w:cs="Arial"/>
          <w:bCs/>
          <w:sz w:val="20"/>
          <w:szCs w:val="20"/>
        </w:rPr>
      </w:pPr>
    </w:p>
    <w:p w:rsidR="00BF65E4" w:rsidRDefault="00BF65E4" w:rsidP="00BF65E4">
      <w:pPr>
        <w:pStyle w:val="Prrafodelista"/>
        <w:tabs>
          <w:tab w:val="left" w:pos="426"/>
        </w:tabs>
        <w:ind w:left="0"/>
        <w:jc w:val="both"/>
        <w:rPr>
          <w:rFonts w:asciiTheme="minorHAnsi" w:hAnsiTheme="minorHAnsi"/>
          <w:sz w:val="20"/>
          <w:szCs w:val="20"/>
        </w:rPr>
      </w:pPr>
      <w:r w:rsidRPr="00B80EBC">
        <w:rPr>
          <w:rFonts w:asciiTheme="minorHAnsi" w:hAnsiTheme="minorHAnsi"/>
          <w:b/>
          <w:sz w:val="20"/>
          <w:szCs w:val="20"/>
        </w:rPr>
        <w:t>1.1.2.1.1</w:t>
      </w:r>
      <w:r w:rsidRPr="000C24B9">
        <w:rPr>
          <w:rFonts w:ascii="ZapfHumnst BT" w:hAnsi="ZapfHumnst BT"/>
          <w:b/>
          <w:sz w:val="20"/>
          <w:szCs w:val="20"/>
        </w:rPr>
        <w:t xml:space="preserve"> </w:t>
      </w:r>
      <w:r w:rsidRPr="00BF65E4">
        <w:rPr>
          <w:rFonts w:asciiTheme="minorHAnsi" w:hAnsiTheme="minorHAnsi"/>
          <w:sz w:val="20"/>
          <w:szCs w:val="20"/>
        </w:rPr>
        <w:t xml:space="preserve">Las cuentas por cobrar a corto plazo que asciende a la cantidad de $ </w:t>
      </w:r>
      <w:r>
        <w:rPr>
          <w:rFonts w:asciiTheme="minorHAnsi" w:hAnsiTheme="minorHAnsi"/>
          <w:sz w:val="20"/>
          <w:szCs w:val="20"/>
        </w:rPr>
        <w:t>143</w:t>
      </w:r>
      <w:r w:rsidRPr="00BF65E4">
        <w:rPr>
          <w:rFonts w:asciiTheme="minorHAnsi" w:hAnsiTheme="minorHAnsi"/>
          <w:sz w:val="20"/>
          <w:szCs w:val="20"/>
        </w:rPr>
        <w:t>,</w:t>
      </w:r>
      <w:r>
        <w:rPr>
          <w:rFonts w:asciiTheme="minorHAnsi" w:hAnsiTheme="minorHAnsi"/>
          <w:sz w:val="20"/>
          <w:szCs w:val="20"/>
        </w:rPr>
        <w:t>722</w:t>
      </w:r>
      <w:r w:rsidRPr="00BF65E4">
        <w:rPr>
          <w:rFonts w:asciiTheme="minorHAnsi" w:hAnsiTheme="minorHAnsi"/>
          <w:sz w:val="20"/>
          <w:szCs w:val="20"/>
        </w:rPr>
        <w:t>.00, acumula los ingresos por venta de localidades de las presentaciones de la Orquesta Sinfónica de Yucatán, que se encuentran pendientes de depositar en la cuenta bancaria de Banorte No. 0639430485 (Ingresos), y corresponden a los corte de taquilla d</w:t>
      </w:r>
      <w:r w:rsidR="00DD1095">
        <w:rPr>
          <w:rFonts w:asciiTheme="minorHAnsi" w:hAnsiTheme="minorHAnsi"/>
          <w:sz w:val="20"/>
          <w:szCs w:val="20"/>
        </w:rPr>
        <w:t>el día</w:t>
      </w:r>
      <w:r w:rsidRPr="00BF65E4">
        <w:rPr>
          <w:rFonts w:asciiTheme="minorHAnsi" w:hAnsiTheme="minorHAnsi"/>
          <w:sz w:val="20"/>
          <w:szCs w:val="20"/>
        </w:rPr>
        <w:t xml:space="preserve"> </w:t>
      </w:r>
      <w:r>
        <w:rPr>
          <w:rFonts w:asciiTheme="minorHAnsi" w:hAnsiTheme="minorHAnsi"/>
          <w:sz w:val="20"/>
          <w:szCs w:val="20"/>
        </w:rPr>
        <w:t>31</w:t>
      </w:r>
      <w:r w:rsidRPr="00BF65E4">
        <w:rPr>
          <w:rFonts w:asciiTheme="minorHAnsi" w:hAnsiTheme="minorHAnsi"/>
          <w:sz w:val="20"/>
          <w:szCs w:val="20"/>
        </w:rPr>
        <w:t xml:space="preserve"> de </w:t>
      </w:r>
      <w:r>
        <w:rPr>
          <w:rFonts w:asciiTheme="minorHAnsi" w:hAnsiTheme="minorHAnsi"/>
          <w:sz w:val="20"/>
          <w:szCs w:val="20"/>
        </w:rPr>
        <w:t>Marzo</w:t>
      </w:r>
      <w:r w:rsidRPr="00BF65E4">
        <w:rPr>
          <w:rFonts w:asciiTheme="minorHAnsi" w:hAnsiTheme="minorHAnsi"/>
          <w:sz w:val="20"/>
          <w:szCs w:val="20"/>
        </w:rPr>
        <w:t xml:space="preserve"> de 201</w:t>
      </w:r>
      <w:r>
        <w:rPr>
          <w:rFonts w:asciiTheme="minorHAnsi" w:hAnsiTheme="minorHAnsi"/>
          <w:sz w:val="20"/>
          <w:szCs w:val="20"/>
        </w:rPr>
        <w:t>7</w:t>
      </w:r>
      <w:r w:rsidRPr="00BF65E4">
        <w:rPr>
          <w:rFonts w:asciiTheme="minorHAnsi" w:hAnsiTheme="minorHAnsi"/>
          <w:sz w:val="20"/>
          <w:szCs w:val="20"/>
        </w:rPr>
        <w:t>.</w:t>
      </w:r>
    </w:p>
    <w:p w:rsidR="00ED6EE1" w:rsidRDefault="00ED6EE1" w:rsidP="00BF65E4">
      <w:pPr>
        <w:pStyle w:val="Prrafodelista"/>
        <w:tabs>
          <w:tab w:val="left" w:pos="426"/>
        </w:tabs>
        <w:ind w:left="0"/>
        <w:jc w:val="both"/>
        <w:rPr>
          <w:rFonts w:asciiTheme="minorHAnsi" w:hAnsiTheme="minorHAnsi"/>
          <w:sz w:val="20"/>
          <w:szCs w:val="20"/>
        </w:rPr>
      </w:pPr>
    </w:p>
    <w:p w:rsidR="00DD1095" w:rsidRDefault="00DD1095" w:rsidP="00BF65E4">
      <w:pPr>
        <w:pStyle w:val="Prrafodelista"/>
        <w:tabs>
          <w:tab w:val="left" w:pos="426"/>
        </w:tabs>
        <w:ind w:left="0"/>
        <w:jc w:val="both"/>
        <w:rPr>
          <w:rFonts w:asciiTheme="minorHAnsi" w:hAnsiTheme="minorHAnsi"/>
          <w:sz w:val="20"/>
          <w:szCs w:val="20"/>
        </w:rPr>
      </w:pPr>
    </w:p>
    <w:p w:rsidR="00DD1095" w:rsidRDefault="00DD1095" w:rsidP="00BF65E4">
      <w:pPr>
        <w:pStyle w:val="Prrafodelista"/>
        <w:tabs>
          <w:tab w:val="left" w:pos="426"/>
        </w:tabs>
        <w:ind w:left="0"/>
        <w:jc w:val="both"/>
        <w:rPr>
          <w:rFonts w:asciiTheme="minorHAnsi" w:hAnsiTheme="minorHAnsi"/>
          <w:sz w:val="20"/>
          <w:szCs w:val="20"/>
        </w:rPr>
      </w:pPr>
    </w:p>
    <w:p w:rsidR="00DD1095" w:rsidRDefault="00DD1095" w:rsidP="00BF65E4">
      <w:pPr>
        <w:pStyle w:val="Prrafodelista"/>
        <w:tabs>
          <w:tab w:val="left" w:pos="426"/>
        </w:tabs>
        <w:ind w:left="0"/>
        <w:jc w:val="both"/>
        <w:rPr>
          <w:rFonts w:asciiTheme="minorHAnsi" w:hAnsiTheme="minorHAnsi"/>
          <w:sz w:val="20"/>
          <w:szCs w:val="20"/>
        </w:rPr>
      </w:pPr>
    </w:p>
    <w:p w:rsidR="00DD1095" w:rsidRDefault="00DD1095" w:rsidP="00BF65E4">
      <w:pPr>
        <w:pStyle w:val="Prrafodelista"/>
        <w:tabs>
          <w:tab w:val="left" w:pos="426"/>
        </w:tabs>
        <w:ind w:left="0"/>
        <w:jc w:val="both"/>
        <w:rPr>
          <w:rFonts w:asciiTheme="minorHAnsi" w:hAnsiTheme="minorHAnsi"/>
          <w:sz w:val="20"/>
          <w:szCs w:val="20"/>
        </w:rPr>
      </w:pPr>
    </w:p>
    <w:p w:rsidR="00ED6EE1" w:rsidRPr="000908E2" w:rsidRDefault="00ED6EE1" w:rsidP="00ED6EE1">
      <w:pPr>
        <w:tabs>
          <w:tab w:val="left" w:pos="993"/>
        </w:tabs>
        <w:rPr>
          <w:rFonts w:asciiTheme="minorHAnsi" w:hAnsiTheme="minorHAnsi"/>
          <w:sz w:val="20"/>
          <w:szCs w:val="20"/>
        </w:rPr>
      </w:pPr>
      <w:r w:rsidRPr="000908E2">
        <w:rPr>
          <w:rFonts w:asciiTheme="minorHAnsi" w:hAnsiTheme="minorHAnsi"/>
          <w:b/>
          <w:sz w:val="20"/>
          <w:szCs w:val="20"/>
        </w:rPr>
        <w:t>1.1.2.1.</w:t>
      </w:r>
      <w:r>
        <w:rPr>
          <w:rFonts w:asciiTheme="minorHAnsi" w:hAnsiTheme="minorHAnsi"/>
          <w:b/>
          <w:sz w:val="20"/>
          <w:szCs w:val="20"/>
        </w:rPr>
        <w:t>2</w:t>
      </w:r>
      <w:r w:rsidRPr="000908E2">
        <w:rPr>
          <w:rFonts w:asciiTheme="minorHAnsi" w:hAnsiTheme="minorHAnsi"/>
          <w:sz w:val="20"/>
          <w:szCs w:val="20"/>
        </w:rPr>
        <w:t xml:space="preserve"> </w:t>
      </w:r>
      <w:r>
        <w:rPr>
          <w:rFonts w:asciiTheme="minorHAnsi" w:hAnsiTheme="minorHAnsi"/>
          <w:sz w:val="20"/>
          <w:szCs w:val="20"/>
        </w:rPr>
        <w:t xml:space="preserve"> La cuenta</w:t>
      </w:r>
      <w:r w:rsidRPr="000908E2">
        <w:rPr>
          <w:rFonts w:asciiTheme="minorHAnsi" w:hAnsiTheme="minorHAnsi"/>
          <w:sz w:val="20"/>
          <w:szCs w:val="20"/>
        </w:rPr>
        <w:t xml:space="preserve"> deudores diversos</w:t>
      </w:r>
      <w:r>
        <w:rPr>
          <w:rFonts w:asciiTheme="minorHAnsi" w:hAnsiTheme="minorHAnsi"/>
          <w:sz w:val="20"/>
          <w:szCs w:val="20"/>
        </w:rPr>
        <w:t xml:space="preserve"> por cobrar</w:t>
      </w:r>
      <w:r w:rsidRPr="000908E2">
        <w:rPr>
          <w:rFonts w:asciiTheme="minorHAnsi" w:hAnsiTheme="minorHAnsi"/>
          <w:sz w:val="20"/>
          <w:szCs w:val="20"/>
        </w:rPr>
        <w:t xml:space="preserve"> a corto plazo se integran de la siguiente manera:</w:t>
      </w:r>
    </w:p>
    <w:p w:rsidR="00ED6EE1" w:rsidRPr="000908E2" w:rsidRDefault="00ED6EE1" w:rsidP="00ED6EE1">
      <w:pPr>
        <w:tabs>
          <w:tab w:val="left" w:pos="993"/>
        </w:tabs>
        <w:rPr>
          <w:rFonts w:asciiTheme="minorHAnsi" w:hAnsiTheme="minorHAnsi"/>
          <w:sz w:val="20"/>
          <w:szCs w:val="20"/>
        </w:rPr>
      </w:pPr>
    </w:p>
    <w:bookmarkStart w:id="4" w:name="_MON_1498551515"/>
    <w:bookmarkEnd w:id="4"/>
    <w:p w:rsidR="00BF65E4" w:rsidRPr="00ED6EE1" w:rsidRDefault="00380A97" w:rsidP="00ED6EE1">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7046" w:dyaOrig="1158">
          <v:shape id="_x0000_i1029" type="#_x0000_t75" style="width:352.8pt;height:57.6pt" o:ole="">
            <v:imagedata r:id="rId21" o:title=""/>
          </v:shape>
          <o:OLEObject Type="Embed" ProgID="Excel.Sheet.8" ShapeID="_x0000_i1029" DrawAspect="Content" ObjectID="_1555199760" r:id="rId22"/>
        </w:object>
      </w:r>
    </w:p>
    <w:p w:rsidR="00BF65E4" w:rsidRPr="0048732A" w:rsidRDefault="00BF65E4" w:rsidP="0048732A">
      <w:pPr>
        <w:pStyle w:val="Prrafodelista"/>
        <w:tabs>
          <w:tab w:val="left" w:pos="426"/>
        </w:tabs>
        <w:ind w:left="0"/>
        <w:jc w:val="center"/>
        <w:rPr>
          <w:rFonts w:asciiTheme="minorHAnsi" w:hAnsiTheme="minorHAnsi" w:cs="Arial"/>
          <w:bCs/>
          <w:sz w:val="20"/>
          <w:szCs w:val="20"/>
        </w:rPr>
      </w:pPr>
    </w:p>
    <w:p w:rsidR="00764803" w:rsidRPr="00ED6EE1" w:rsidRDefault="00764803" w:rsidP="00ED6EE1">
      <w:pPr>
        <w:pStyle w:val="Prrafodelista"/>
        <w:numPr>
          <w:ilvl w:val="5"/>
          <w:numId w:val="40"/>
        </w:numPr>
        <w:tabs>
          <w:tab w:val="left" w:pos="709"/>
          <w:tab w:val="left" w:pos="851"/>
          <w:tab w:val="left" w:pos="993"/>
          <w:tab w:val="left" w:pos="1418"/>
        </w:tabs>
        <w:ind w:left="851" w:hanging="851"/>
        <w:rPr>
          <w:rFonts w:asciiTheme="minorHAnsi" w:hAnsiTheme="minorHAnsi"/>
          <w:sz w:val="20"/>
          <w:szCs w:val="20"/>
        </w:rPr>
      </w:pPr>
      <w:r w:rsidRPr="00ED6EE1">
        <w:rPr>
          <w:rFonts w:asciiTheme="minorHAnsi" w:hAnsiTheme="minorHAnsi"/>
          <w:sz w:val="20"/>
          <w:szCs w:val="20"/>
        </w:rPr>
        <w:t>Las cuentas deudores diversos se integran de la siguiente manera:</w:t>
      </w:r>
    </w:p>
    <w:p w:rsidR="00764803" w:rsidRPr="0012088A" w:rsidRDefault="00764803" w:rsidP="00764803">
      <w:pPr>
        <w:pStyle w:val="Prrafodelista"/>
        <w:tabs>
          <w:tab w:val="left" w:pos="993"/>
        </w:tabs>
        <w:ind w:left="1800"/>
        <w:rPr>
          <w:rFonts w:asciiTheme="minorHAnsi" w:hAnsiTheme="minorHAnsi"/>
          <w:sz w:val="20"/>
          <w:szCs w:val="20"/>
        </w:rPr>
      </w:pPr>
    </w:p>
    <w:bookmarkStart w:id="5" w:name="_MON_1464544886"/>
    <w:bookmarkEnd w:id="5"/>
    <w:p w:rsidR="00764803" w:rsidRDefault="00BF65E4" w:rsidP="00764803">
      <w:pPr>
        <w:jc w:val="center"/>
        <w:rPr>
          <w:rFonts w:asciiTheme="minorHAnsi" w:hAnsiTheme="minorHAnsi" w:cs="Arial"/>
          <w:bCs/>
          <w:sz w:val="20"/>
          <w:szCs w:val="20"/>
        </w:rPr>
      </w:pPr>
      <w:r w:rsidRPr="000908E2">
        <w:rPr>
          <w:rFonts w:asciiTheme="minorHAnsi" w:hAnsiTheme="minorHAnsi" w:cs="Arial"/>
          <w:bCs/>
          <w:sz w:val="20"/>
          <w:szCs w:val="20"/>
        </w:rPr>
        <w:object w:dxaOrig="10132" w:dyaOrig="3210">
          <v:shape id="_x0000_i1030" type="#_x0000_t75" style="width:506.4pt;height:159.6pt" o:ole="">
            <v:imagedata r:id="rId23" o:title=""/>
          </v:shape>
          <o:OLEObject Type="Embed" ProgID="Excel.Sheet.8" ShapeID="_x0000_i1030" DrawAspect="Content" ObjectID="_1555199761" r:id="rId24"/>
        </w:object>
      </w:r>
    </w:p>
    <w:p w:rsidR="00764803" w:rsidRPr="000908E2" w:rsidRDefault="00764803" w:rsidP="00764803">
      <w:pPr>
        <w:jc w:val="center"/>
        <w:rPr>
          <w:rFonts w:asciiTheme="minorHAnsi" w:hAnsiTheme="minorHAnsi" w:cs="Arial"/>
          <w:bCs/>
          <w:sz w:val="20"/>
          <w:szCs w:val="20"/>
        </w:rPr>
      </w:pPr>
    </w:p>
    <w:p w:rsidR="00764803" w:rsidRPr="000908E2" w:rsidRDefault="00764803" w:rsidP="00764803">
      <w:pPr>
        <w:pStyle w:val="Prrafodelista"/>
        <w:numPr>
          <w:ilvl w:val="0"/>
          <w:numId w:val="20"/>
        </w:numPr>
        <w:tabs>
          <w:tab w:val="left" w:pos="0"/>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Secretaría de Administración y Finanzas, corresponde a cantidad pendiente de recibir por la ampliación presupuestal para llevar a cabo proyectos artísticos y culturales de la Orquesta Sinfónica de Yucatán correspondiente al Ejercicio 2012 por la cantidad de $ 1,501,915.00, ésta ha sido autorizada por la Dirección General de Presupuesto y Gasto Público de dicha Secretaría; cantidad que al cierre de estos estados financieros no ha sido transferida por la Dirección de Tesorería General de la Secretaría de Administración y Finanzas del Gobierno del Estado.</w:t>
      </w:r>
    </w:p>
    <w:p w:rsidR="00764803" w:rsidRPr="000908E2" w:rsidRDefault="00764803" w:rsidP="00764803">
      <w:pPr>
        <w:pStyle w:val="Prrafodelista"/>
        <w:tabs>
          <w:tab w:val="left" w:pos="1725"/>
        </w:tabs>
        <w:ind w:left="0"/>
        <w:jc w:val="both"/>
        <w:rPr>
          <w:rFonts w:asciiTheme="minorHAnsi" w:hAnsiTheme="minorHAnsi"/>
          <w:sz w:val="20"/>
          <w:szCs w:val="20"/>
        </w:rPr>
      </w:pPr>
      <w:r w:rsidRPr="000908E2">
        <w:rPr>
          <w:rFonts w:asciiTheme="minorHAnsi" w:hAnsiTheme="minorHAnsi"/>
          <w:sz w:val="20"/>
          <w:szCs w:val="20"/>
        </w:rPr>
        <w:tab/>
      </w:r>
    </w:p>
    <w:p w:rsidR="00764803" w:rsidRPr="000908E2" w:rsidRDefault="00764803" w:rsidP="00764803">
      <w:pPr>
        <w:pStyle w:val="Prrafodelista"/>
        <w:numPr>
          <w:ilvl w:val="0"/>
          <w:numId w:val="20"/>
        </w:numPr>
        <w:tabs>
          <w:tab w:val="left" w:pos="426"/>
        </w:tabs>
        <w:ind w:left="0" w:firstLine="0"/>
        <w:jc w:val="both"/>
        <w:rPr>
          <w:rFonts w:asciiTheme="minorHAnsi" w:hAnsiTheme="minorHAnsi"/>
          <w:sz w:val="20"/>
          <w:szCs w:val="20"/>
        </w:rPr>
      </w:pPr>
      <w:r w:rsidRPr="000908E2">
        <w:rPr>
          <w:rFonts w:asciiTheme="minorHAnsi" w:hAnsiTheme="minorHAnsi"/>
          <w:sz w:val="20"/>
          <w:szCs w:val="20"/>
        </w:rPr>
        <w:t>Las demás cuentas corresponden a aportaciones pendientes por espacios publicitarios</w:t>
      </w:r>
      <w:r>
        <w:rPr>
          <w:rFonts w:asciiTheme="minorHAnsi" w:hAnsiTheme="minorHAnsi"/>
          <w:sz w:val="20"/>
          <w:szCs w:val="20"/>
        </w:rPr>
        <w:t xml:space="preserve"> en los cuadernillos</w:t>
      </w:r>
      <w:r w:rsidRPr="000908E2">
        <w:rPr>
          <w:rFonts w:asciiTheme="minorHAnsi" w:hAnsiTheme="minorHAnsi"/>
          <w:sz w:val="20"/>
          <w:szCs w:val="20"/>
        </w:rPr>
        <w:t xml:space="preserve"> general</w:t>
      </w:r>
      <w:r>
        <w:rPr>
          <w:rFonts w:asciiTheme="minorHAnsi" w:hAnsiTheme="minorHAnsi"/>
          <w:sz w:val="20"/>
          <w:szCs w:val="20"/>
        </w:rPr>
        <w:t>es</w:t>
      </w:r>
      <w:r w:rsidRPr="000908E2">
        <w:rPr>
          <w:rFonts w:asciiTheme="minorHAnsi" w:hAnsiTheme="minorHAnsi"/>
          <w:sz w:val="20"/>
          <w:szCs w:val="20"/>
        </w:rPr>
        <w:t xml:space="preserve"> de las temporadas de la Orquesta Sinfónica de Yucatán y apoyos a la promoción cultural a través de la actividad musical de la Orquesta Sinfónica de Yucatán.</w:t>
      </w:r>
    </w:p>
    <w:p w:rsidR="00764803" w:rsidRDefault="00764803" w:rsidP="00764803">
      <w:pPr>
        <w:pStyle w:val="Prrafodelista"/>
        <w:tabs>
          <w:tab w:val="left" w:pos="284"/>
          <w:tab w:val="left" w:pos="1134"/>
        </w:tabs>
        <w:ind w:left="0"/>
        <w:rPr>
          <w:rFonts w:asciiTheme="minorHAnsi" w:hAnsiTheme="minorHAnsi"/>
          <w:b/>
          <w:sz w:val="20"/>
          <w:szCs w:val="20"/>
        </w:rPr>
      </w:pPr>
    </w:p>
    <w:p w:rsidR="00ED6EE1" w:rsidRDefault="00ED6EE1" w:rsidP="00764803">
      <w:pPr>
        <w:pStyle w:val="Prrafodelista"/>
        <w:tabs>
          <w:tab w:val="left" w:pos="284"/>
          <w:tab w:val="left" w:pos="1134"/>
        </w:tabs>
        <w:ind w:left="0"/>
        <w:rPr>
          <w:rFonts w:asciiTheme="minorHAnsi" w:hAnsiTheme="minorHAnsi"/>
          <w:b/>
          <w:sz w:val="20"/>
          <w:szCs w:val="20"/>
        </w:rPr>
      </w:pPr>
    </w:p>
    <w:p w:rsidR="00ED6EE1" w:rsidRPr="000908E2" w:rsidRDefault="00ED6EE1" w:rsidP="00ED6EE1">
      <w:pPr>
        <w:tabs>
          <w:tab w:val="left" w:pos="993"/>
        </w:tabs>
        <w:rPr>
          <w:rFonts w:asciiTheme="minorHAnsi" w:hAnsiTheme="minorHAnsi"/>
          <w:sz w:val="20"/>
          <w:szCs w:val="20"/>
        </w:rPr>
      </w:pPr>
      <w:r w:rsidRPr="00ED6EE1">
        <w:rPr>
          <w:rFonts w:asciiTheme="minorHAnsi" w:hAnsiTheme="minorHAnsi"/>
          <w:b/>
          <w:sz w:val="20"/>
          <w:szCs w:val="20"/>
        </w:rPr>
        <w:t>1.1.2.1.2.2</w:t>
      </w:r>
      <w:r>
        <w:rPr>
          <w:rFonts w:asciiTheme="minorHAnsi" w:hAnsiTheme="minorHAnsi"/>
          <w:sz w:val="20"/>
          <w:szCs w:val="20"/>
        </w:rPr>
        <w:t xml:space="preserve">  </w:t>
      </w:r>
      <w:r w:rsidRPr="000908E2">
        <w:rPr>
          <w:rFonts w:asciiTheme="minorHAnsi" w:hAnsiTheme="minorHAnsi"/>
          <w:sz w:val="20"/>
          <w:szCs w:val="20"/>
        </w:rPr>
        <w:t>La cuenta de gastos a comprobar se integra de la siguiente manera:</w:t>
      </w:r>
    </w:p>
    <w:p w:rsidR="00ED6EE1" w:rsidRPr="000908E2" w:rsidRDefault="00ED6EE1" w:rsidP="00ED6EE1">
      <w:pPr>
        <w:rPr>
          <w:rFonts w:asciiTheme="minorHAnsi" w:hAnsiTheme="minorHAnsi" w:cs="Arial"/>
          <w:bCs/>
          <w:sz w:val="20"/>
          <w:szCs w:val="20"/>
        </w:rPr>
      </w:pPr>
    </w:p>
    <w:bookmarkStart w:id="6" w:name="_MON_1498551668"/>
    <w:bookmarkEnd w:id="6"/>
    <w:p w:rsidR="00ED6EE1" w:rsidRPr="009357B6" w:rsidRDefault="00ED6EE1" w:rsidP="00ED6EE1">
      <w:pPr>
        <w:jc w:val="center"/>
        <w:rPr>
          <w:rFonts w:asciiTheme="minorHAnsi" w:hAnsiTheme="minorHAnsi" w:cs="Arial"/>
          <w:bCs/>
          <w:sz w:val="20"/>
          <w:szCs w:val="20"/>
        </w:rPr>
      </w:pPr>
      <w:r w:rsidRPr="000908E2">
        <w:rPr>
          <w:rFonts w:asciiTheme="minorHAnsi" w:hAnsiTheme="minorHAnsi" w:cs="Arial"/>
          <w:bCs/>
          <w:sz w:val="20"/>
          <w:szCs w:val="20"/>
        </w:rPr>
        <w:object w:dxaOrig="8208" w:dyaOrig="1566">
          <v:shape id="_x0000_i1031" type="#_x0000_t75" style="width:409.8pt;height:77.4pt" o:ole="">
            <v:imagedata r:id="rId25" o:title=""/>
          </v:shape>
          <o:OLEObject Type="Embed" ProgID="Excel.Sheet.8" ShapeID="_x0000_i1031" DrawAspect="Content" ObjectID="_1555199762" r:id="rId26"/>
        </w:object>
      </w:r>
    </w:p>
    <w:p w:rsidR="00ED6EE1" w:rsidRDefault="00ED6EE1" w:rsidP="00764803">
      <w:pPr>
        <w:pStyle w:val="Prrafodelista"/>
        <w:tabs>
          <w:tab w:val="left" w:pos="284"/>
          <w:tab w:val="left" w:pos="1134"/>
        </w:tabs>
        <w:ind w:left="0"/>
        <w:rPr>
          <w:rFonts w:asciiTheme="minorHAnsi" w:hAnsiTheme="minorHAnsi"/>
          <w:b/>
          <w:sz w:val="20"/>
          <w:szCs w:val="20"/>
        </w:rPr>
      </w:pPr>
    </w:p>
    <w:p w:rsidR="00ED6EE1" w:rsidRDefault="00ED6EE1" w:rsidP="00764803">
      <w:pPr>
        <w:pStyle w:val="Prrafodelista"/>
        <w:tabs>
          <w:tab w:val="left" w:pos="284"/>
          <w:tab w:val="left" w:pos="1134"/>
        </w:tabs>
        <w:ind w:left="0"/>
        <w:rPr>
          <w:rFonts w:asciiTheme="minorHAnsi" w:hAnsiTheme="minorHAnsi"/>
          <w:b/>
          <w:sz w:val="20"/>
          <w:szCs w:val="20"/>
        </w:rPr>
      </w:pPr>
    </w:p>
    <w:p w:rsidR="00764803" w:rsidRPr="000908E2" w:rsidRDefault="00764803" w:rsidP="00764803">
      <w:pPr>
        <w:pStyle w:val="Prrafodelista"/>
        <w:tabs>
          <w:tab w:val="left" w:pos="284"/>
          <w:tab w:val="left" w:pos="1134"/>
        </w:tabs>
        <w:ind w:left="0"/>
        <w:rPr>
          <w:rFonts w:asciiTheme="minorHAnsi" w:hAnsiTheme="minorHAnsi"/>
          <w:sz w:val="20"/>
          <w:szCs w:val="20"/>
        </w:rPr>
      </w:pPr>
      <w:r w:rsidRPr="000908E2">
        <w:rPr>
          <w:rFonts w:asciiTheme="minorHAnsi" w:hAnsiTheme="minorHAnsi"/>
          <w:b/>
          <w:sz w:val="20"/>
          <w:szCs w:val="20"/>
        </w:rPr>
        <w:t>1.1.2.1.</w:t>
      </w:r>
      <w:r w:rsidR="00BF65E4">
        <w:rPr>
          <w:rFonts w:asciiTheme="minorHAnsi" w:hAnsiTheme="minorHAnsi"/>
          <w:b/>
          <w:sz w:val="20"/>
          <w:szCs w:val="20"/>
        </w:rPr>
        <w:t>3</w:t>
      </w:r>
      <w:r w:rsidR="0048732A">
        <w:rPr>
          <w:rFonts w:asciiTheme="minorHAnsi" w:hAnsiTheme="minorHAnsi"/>
          <w:b/>
          <w:sz w:val="20"/>
          <w:szCs w:val="20"/>
        </w:rPr>
        <w:t xml:space="preserve"> </w:t>
      </w:r>
      <w:r w:rsidRPr="000908E2">
        <w:rPr>
          <w:rFonts w:asciiTheme="minorHAnsi" w:hAnsiTheme="minorHAnsi"/>
          <w:sz w:val="20"/>
          <w:szCs w:val="20"/>
        </w:rPr>
        <w:t xml:space="preserve"> La cuenta de ingresos por recuperar a corto plazo se integra  de la siguiente manera:</w:t>
      </w:r>
    </w:p>
    <w:p w:rsidR="00764803" w:rsidRPr="000908E2" w:rsidRDefault="00764803" w:rsidP="00764803">
      <w:pPr>
        <w:jc w:val="both"/>
        <w:rPr>
          <w:rFonts w:asciiTheme="minorHAnsi" w:hAnsiTheme="minorHAnsi"/>
          <w:sz w:val="20"/>
          <w:szCs w:val="20"/>
        </w:rPr>
      </w:pPr>
    </w:p>
    <w:bookmarkStart w:id="7" w:name="_MON_1464545166"/>
    <w:bookmarkEnd w:id="7"/>
    <w:p w:rsidR="00764803" w:rsidRDefault="00764803" w:rsidP="00764803">
      <w:pPr>
        <w:jc w:val="center"/>
        <w:rPr>
          <w:rFonts w:asciiTheme="minorHAnsi" w:hAnsiTheme="minorHAnsi" w:cs="Arial"/>
          <w:bCs/>
          <w:sz w:val="20"/>
          <w:szCs w:val="20"/>
        </w:rPr>
      </w:pPr>
      <w:r w:rsidRPr="000908E2">
        <w:rPr>
          <w:rFonts w:asciiTheme="minorHAnsi" w:hAnsiTheme="minorHAnsi" w:cs="Arial"/>
          <w:bCs/>
          <w:sz w:val="20"/>
          <w:szCs w:val="20"/>
        </w:rPr>
        <w:object w:dxaOrig="8091" w:dyaOrig="1998">
          <v:shape id="_x0000_i1032" type="#_x0000_t75" style="width:403.2pt;height:99pt" o:ole="">
            <v:imagedata r:id="rId27" o:title=""/>
          </v:shape>
          <o:OLEObject Type="Embed" ProgID="Excel.Sheet.8" ShapeID="_x0000_i1032" DrawAspect="Content" ObjectID="_1555199763" r:id="rId28"/>
        </w:object>
      </w:r>
    </w:p>
    <w:p w:rsidR="00764803" w:rsidRDefault="00764803" w:rsidP="00764803">
      <w:pPr>
        <w:jc w:val="center"/>
        <w:rPr>
          <w:rFonts w:asciiTheme="minorHAnsi" w:hAnsiTheme="minorHAnsi" w:cs="Arial"/>
          <w:bCs/>
          <w:sz w:val="20"/>
          <w:szCs w:val="20"/>
        </w:rPr>
      </w:pPr>
    </w:p>
    <w:p w:rsidR="00ED6EE1" w:rsidRPr="000908E2" w:rsidRDefault="00ED6EE1" w:rsidP="00764803">
      <w:pPr>
        <w:jc w:val="center"/>
        <w:rPr>
          <w:rFonts w:asciiTheme="minorHAnsi" w:hAnsiTheme="minorHAnsi" w:cs="Arial"/>
          <w:bCs/>
          <w:sz w:val="20"/>
          <w:szCs w:val="20"/>
        </w:rPr>
      </w:pPr>
    </w:p>
    <w:p w:rsidR="00764803" w:rsidRPr="00BF65E4" w:rsidRDefault="00764803" w:rsidP="00BF65E4">
      <w:pPr>
        <w:pStyle w:val="Prrafodelista"/>
        <w:numPr>
          <w:ilvl w:val="3"/>
          <w:numId w:val="39"/>
        </w:numPr>
        <w:tabs>
          <w:tab w:val="left" w:pos="0"/>
        </w:tabs>
        <w:ind w:left="0" w:firstLine="0"/>
        <w:jc w:val="both"/>
        <w:rPr>
          <w:rFonts w:asciiTheme="minorHAnsi" w:hAnsiTheme="minorHAnsi"/>
          <w:sz w:val="20"/>
          <w:szCs w:val="20"/>
        </w:rPr>
      </w:pPr>
      <w:r w:rsidRPr="00BF65E4">
        <w:rPr>
          <w:rFonts w:asciiTheme="minorHAnsi" w:hAnsiTheme="minorHAnsi"/>
          <w:sz w:val="20"/>
          <w:szCs w:val="20"/>
        </w:rPr>
        <w:t xml:space="preserve">El rubro de Bienes o servicios a recibir al 31 de </w:t>
      </w:r>
      <w:r w:rsidR="00213DD3" w:rsidRPr="00BF65E4">
        <w:rPr>
          <w:rFonts w:asciiTheme="minorHAnsi" w:hAnsiTheme="minorHAnsi"/>
          <w:sz w:val="20"/>
          <w:szCs w:val="20"/>
        </w:rPr>
        <w:t>Marzo de 2017</w:t>
      </w:r>
      <w:r w:rsidRPr="00BF65E4">
        <w:rPr>
          <w:rFonts w:asciiTheme="minorHAnsi" w:hAnsiTheme="minorHAnsi"/>
          <w:sz w:val="20"/>
          <w:szCs w:val="20"/>
        </w:rPr>
        <w:t>, se integra únicamente por la cuenta de anticipos a corto plazo,  se conforma de la siguiente manera:</w:t>
      </w:r>
    </w:p>
    <w:p w:rsidR="00764803" w:rsidRPr="00B80EBC" w:rsidRDefault="00764803" w:rsidP="00764803">
      <w:pPr>
        <w:tabs>
          <w:tab w:val="left" w:pos="0"/>
        </w:tabs>
        <w:jc w:val="both"/>
        <w:rPr>
          <w:rFonts w:asciiTheme="minorHAnsi" w:hAnsiTheme="minorHAnsi"/>
          <w:sz w:val="20"/>
          <w:szCs w:val="20"/>
        </w:rPr>
      </w:pPr>
    </w:p>
    <w:p w:rsidR="00764803" w:rsidRPr="000908E2" w:rsidRDefault="00764803" w:rsidP="00764803">
      <w:pPr>
        <w:pStyle w:val="Prrafodelista"/>
        <w:tabs>
          <w:tab w:val="left" w:pos="426"/>
        </w:tabs>
        <w:ind w:left="0"/>
        <w:rPr>
          <w:rFonts w:asciiTheme="minorHAnsi" w:hAnsiTheme="minorHAnsi"/>
          <w:sz w:val="20"/>
          <w:szCs w:val="20"/>
        </w:rPr>
      </w:pPr>
    </w:p>
    <w:bookmarkStart w:id="8" w:name="_MON_1458660889"/>
    <w:bookmarkEnd w:id="8"/>
    <w:p w:rsidR="00764803" w:rsidRPr="000908E2" w:rsidRDefault="00ED6EE1" w:rsidP="00764803">
      <w:pPr>
        <w:pStyle w:val="Prrafodelista"/>
        <w:tabs>
          <w:tab w:val="left" w:pos="426"/>
        </w:tabs>
        <w:ind w:left="0"/>
        <w:rPr>
          <w:rFonts w:asciiTheme="minorHAnsi" w:hAnsiTheme="minorHAnsi" w:cs="Arial"/>
          <w:bCs/>
          <w:sz w:val="20"/>
          <w:szCs w:val="20"/>
        </w:rPr>
      </w:pPr>
      <w:r w:rsidRPr="000908E2">
        <w:rPr>
          <w:rFonts w:asciiTheme="minorHAnsi" w:hAnsiTheme="minorHAnsi" w:cs="Arial"/>
          <w:bCs/>
          <w:sz w:val="20"/>
          <w:szCs w:val="20"/>
        </w:rPr>
        <w:object w:dxaOrig="10177" w:dyaOrig="8501">
          <v:shape id="_x0000_i1033" type="#_x0000_t75" style="width:510.6pt;height:426pt" o:ole="">
            <v:imagedata r:id="rId29" o:title=""/>
          </v:shape>
          <o:OLEObject Type="Embed" ProgID="Excel.Sheet.8" ShapeID="_x0000_i1033" DrawAspect="Content" ObjectID="_1555199764" r:id="rId30"/>
        </w:object>
      </w:r>
    </w:p>
    <w:p w:rsidR="00764803" w:rsidRPr="00BA59F0" w:rsidRDefault="00764803" w:rsidP="00ED6EE1">
      <w:pPr>
        <w:pStyle w:val="Prrafodelista"/>
        <w:numPr>
          <w:ilvl w:val="2"/>
          <w:numId w:val="38"/>
        </w:numPr>
        <w:tabs>
          <w:tab w:val="left" w:pos="426"/>
        </w:tabs>
        <w:ind w:hanging="1080"/>
        <w:rPr>
          <w:rFonts w:asciiTheme="minorHAnsi" w:hAnsiTheme="minorHAnsi"/>
          <w:b/>
          <w:sz w:val="20"/>
          <w:szCs w:val="20"/>
        </w:rPr>
      </w:pPr>
      <w:r>
        <w:rPr>
          <w:rFonts w:asciiTheme="minorHAnsi" w:hAnsiTheme="minorHAnsi"/>
          <w:b/>
          <w:sz w:val="20"/>
          <w:szCs w:val="20"/>
        </w:rPr>
        <w:t xml:space="preserve"> </w:t>
      </w:r>
      <w:r w:rsidRPr="00BA59F0">
        <w:rPr>
          <w:rFonts w:asciiTheme="minorHAnsi" w:hAnsiTheme="minorHAnsi"/>
          <w:b/>
          <w:sz w:val="20"/>
          <w:szCs w:val="20"/>
        </w:rPr>
        <w:t>Bienes Disponibles para su Transformación o Consumo (inventario).</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autoSpaceDE w:val="0"/>
        <w:jc w:val="both"/>
        <w:rPr>
          <w:rFonts w:asciiTheme="minorHAnsi" w:hAnsiTheme="minorHAnsi"/>
          <w:sz w:val="20"/>
          <w:szCs w:val="20"/>
        </w:rPr>
      </w:pPr>
      <w:r w:rsidRPr="000908E2">
        <w:rPr>
          <w:rFonts w:asciiTheme="minorHAnsi" w:hAnsiTheme="minorHAnsi"/>
          <w:sz w:val="20"/>
          <w:szCs w:val="20"/>
        </w:rPr>
        <w:t>El Fideicomiso Garante de la Orquesta Sinfónica de Yucatán (FIGAROSY) no realiza ningún proceso de trasformación y elaboración de bienes, ya que el objeto principal del FIGAROSY, es la administración e inversión de los recursos para la difusión, preservación, impulso y permanencia de la Orquesta Sinfónica de Yucatán.</w:t>
      </w:r>
    </w:p>
    <w:p w:rsidR="00810EEF" w:rsidRPr="000908E2" w:rsidRDefault="00810EEF" w:rsidP="00764803">
      <w:pPr>
        <w:pStyle w:val="Prrafodelista"/>
        <w:tabs>
          <w:tab w:val="left" w:pos="426"/>
        </w:tabs>
        <w:ind w:left="0"/>
        <w:rPr>
          <w:rFonts w:asciiTheme="minorHAnsi" w:hAnsiTheme="minorHAnsi"/>
          <w:b/>
          <w:sz w:val="20"/>
          <w:szCs w:val="20"/>
        </w:rPr>
      </w:pPr>
    </w:p>
    <w:p w:rsidR="00764803" w:rsidRPr="000908E2" w:rsidRDefault="00764803" w:rsidP="00F23328">
      <w:pPr>
        <w:pStyle w:val="Prrafodelista"/>
        <w:numPr>
          <w:ilvl w:val="2"/>
          <w:numId w:val="38"/>
        </w:numPr>
        <w:tabs>
          <w:tab w:val="left" w:pos="426"/>
        </w:tabs>
        <w:ind w:left="709" w:hanging="709"/>
        <w:rPr>
          <w:rFonts w:asciiTheme="minorHAnsi" w:hAnsiTheme="minorHAnsi"/>
          <w:b/>
          <w:sz w:val="20"/>
          <w:szCs w:val="20"/>
        </w:rPr>
      </w:pPr>
      <w:r>
        <w:rPr>
          <w:rFonts w:asciiTheme="minorHAnsi" w:hAnsiTheme="minorHAnsi"/>
          <w:b/>
          <w:sz w:val="20"/>
          <w:szCs w:val="20"/>
        </w:rPr>
        <w:t xml:space="preserve"> </w:t>
      </w:r>
      <w:r w:rsidRPr="000908E2">
        <w:rPr>
          <w:rFonts w:asciiTheme="minorHAnsi" w:hAnsiTheme="minorHAnsi"/>
          <w:b/>
          <w:sz w:val="20"/>
          <w:szCs w:val="20"/>
        </w:rPr>
        <w:t>Inversiones Financieras.</w:t>
      </w:r>
    </w:p>
    <w:p w:rsidR="00764803" w:rsidRPr="000908E2" w:rsidRDefault="00764803" w:rsidP="00764803">
      <w:pPr>
        <w:pStyle w:val="Prrafodelista"/>
        <w:tabs>
          <w:tab w:val="left" w:pos="0"/>
          <w:tab w:val="left" w:pos="284"/>
        </w:tabs>
        <w:ind w:left="0"/>
        <w:jc w:val="both"/>
        <w:rPr>
          <w:rFonts w:asciiTheme="minorHAnsi" w:hAnsiTheme="minorHAnsi"/>
          <w:sz w:val="20"/>
          <w:szCs w:val="20"/>
        </w:rPr>
      </w:pPr>
    </w:p>
    <w:p w:rsidR="00764803" w:rsidRPr="000908E2" w:rsidRDefault="00764803" w:rsidP="00764803">
      <w:pPr>
        <w:pStyle w:val="Prrafodelista"/>
        <w:tabs>
          <w:tab w:val="left" w:pos="0"/>
          <w:tab w:val="left" w:pos="284"/>
        </w:tabs>
        <w:ind w:left="0"/>
        <w:jc w:val="both"/>
        <w:rPr>
          <w:rFonts w:asciiTheme="minorHAnsi" w:hAnsiTheme="minorHAnsi"/>
          <w:sz w:val="20"/>
          <w:szCs w:val="20"/>
        </w:rPr>
      </w:pPr>
      <w:r>
        <w:rPr>
          <w:rFonts w:asciiTheme="minorHAnsi" w:hAnsiTheme="minorHAnsi"/>
          <w:sz w:val="20"/>
          <w:szCs w:val="20"/>
        </w:rPr>
        <w:t>Al 31</w:t>
      </w:r>
      <w:r w:rsidRPr="000908E2">
        <w:rPr>
          <w:rFonts w:asciiTheme="minorHAnsi" w:hAnsiTheme="minorHAnsi"/>
          <w:sz w:val="20"/>
          <w:szCs w:val="20"/>
        </w:rPr>
        <w:t xml:space="preserve"> de </w:t>
      </w:r>
      <w:r w:rsidR="00F73D59">
        <w:rPr>
          <w:rFonts w:asciiTheme="minorHAnsi" w:hAnsiTheme="minorHAnsi"/>
          <w:sz w:val="20"/>
          <w:szCs w:val="20"/>
        </w:rPr>
        <w:t>Marzo de 2017</w:t>
      </w:r>
      <w:r w:rsidRPr="000908E2">
        <w:rPr>
          <w:rFonts w:asciiTheme="minorHAnsi" w:hAnsiTheme="minorHAnsi"/>
          <w:sz w:val="20"/>
          <w:szCs w:val="20"/>
        </w:rPr>
        <w:t xml:space="preserve">, la cuenta de inversiones temporales se integra de la siguiente manera: </w:t>
      </w:r>
    </w:p>
    <w:p w:rsidR="00764803" w:rsidRPr="000908E2" w:rsidRDefault="00764803" w:rsidP="00764803">
      <w:pPr>
        <w:pStyle w:val="Prrafodelista"/>
        <w:tabs>
          <w:tab w:val="left" w:pos="0"/>
          <w:tab w:val="left" w:pos="284"/>
        </w:tabs>
        <w:ind w:left="0"/>
        <w:jc w:val="both"/>
        <w:rPr>
          <w:rFonts w:asciiTheme="minorHAnsi" w:hAnsiTheme="minorHAnsi"/>
          <w:sz w:val="20"/>
          <w:szCs w:val="20"/>
        </w:rPr>
      </w:pPr>
    </w:p>
    <w:bookmarkStart w:id="9" w:name="_MON_1464540373"/>
    <w:bookmarkEnd w:id="9"/>
    <w:p w:rsidR="00764803" w:rsidRPr="000908E2" w:rsidRDefault="00F73D59" w:rsidP="00764803">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9899" w:dyaOrig="5119">
          <v:shape id="_x0000_i1034" type="#_x0000_t75" style="width:493.2pt;height:255.6pt" o:ole="">
            <v:imagedata r:id="rId31" o:title=""/>
          </v:shape>
          <o:OLEObject Type="Embed" ProgID="Excel.Sheet.8" ShapeID="_x0000_i1034" DrawAspect="Content" ObjectID="_1555199765" r:id="rId32"/>
        </w:object>
      </w: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Pr="000908E2" w:rsidRDefault="00764803" w:rsidP="00764803">
      <w:pPr>
        <w:pStyle w:val="Prrafodelista"/>
        <w:tabs>
          <w:tab w:val="left" w:pos="0"/>
          <w:tab w:val="left" w:pos="426"/>
        </w:tabs>
        <w:ind w:left="0"/>
        <w:jc w:val="both"/>
        <w:rPr>
          <w:rFonts w:asciiTheme="minorHAnsi" w:hAnsiTheme="minorHAnsi"/>
          <w:sz w:val="20"/>
          <w:szCs w:val="20"/>
        </w:rPr>
      </w:pPr>
      <w:r w:rsidRPr="000908E2">
        <w:rPr>
          <w:rFonts w:asciiTheme="minorHAnsi" w:hAnsiTheme="minorHAnsi"/>
          <w:sz w:val="20"/>
          <w:szCs w:val="20"/>
        </w:rPr>
        <w:t xml:space="preserve">En la Primera Sesión Ordinaria del Comité Técnico del FIGAROSY de fecha 21 de abril de 2010, dicho Comité autorizó invertir el remanente de efectivo disponible del ejercicio </w:t>
      </w:r>
      <w:smartTag w:uri="urn:schemas-microsoft-com:office:smarttags" w:element="metricconverter">
        <w:smartTagPr>
          <w:attr w:name="ProductID" w:val="2009, a"/>
        </w:smartTagPr>
        <w:r w:rsidRPr="000908E2">
          <w:rPr>
            <w:rFonts w:asciiTheme="minorHAnsi" w:hAnsiTheme="minorHAnsi"/>
            <w:sz w:val="20"/>
            <w:szCs w:val="20"/>
          </w:rPr>
          <w:t>2009, a</w:t>
        </w:r>
      </w:smartTag>
      <w:r w:rsidRPr="000908E2">
        <w:rPr>
          <w:rFonts w:asciiTheme="minorHAnsi" w:hAnsiTheme="minorHAnsi"/>
          <w:sz w:val="20"/>
          <w:szCs w:val="20"/>
        </w:rPr>
        <w:t xml:space="preserve"> un plazo de 91 días utilizando la tasa de Inversiones a Plazo con Rendimiento Liquidable al Vencimiento (PRLV). Esta tasa es variable y determinada por la Dirección de Tesorería de Nacional Financiera S.N.C. </w:t>
      </w:r>
    </w:p>
    <w:p w:rsidR="00764803" w:rsidRPr="000908E2" w:rsidRDefault="00764803" w:rsidP="00764803">
      <w:pPr>
        <w:pStyle w:val="Prrafodelista"/>
        <w:tabs>
          <w:tab w:val="left" w:pos="0"/>
          <w:tab w:val="left" w:pos="284"/>
        </w:tabs>
        <w:ind w:left="0"/>
        <w:jc w:val="both"/>
        <w:rPr>
          <w:rFonts w:asciiTheme="minorHAnsi" w:hAnsiTheme="minorHAnsi"/>
          <w:sz w:val="20"/>
          <w:szCs w:val="20"/>
        </w:rPr>
      </w:pPr>
    </w:p>
    <w:p w:rsidR="00764803" w:rsidRPr="000908E2" w:rsidRDefault="00764803" w:rsidP="00764803">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sz w:val="20"/>
          <w:szCs w:val="20"/>
        </w:rPr>
        <w:t>Como resultado de los remanentes de efectivo disponibles de los ejercicios subsecuentes, el Comité Técnico del FIGAROSY autorizó para l</w:t>
      </w:r>
      <w:r>
        <w:rPr>
          <w:rFonts w:asciiTheme="minorHAnsi" w:hAnsiTheme="minorHAnsi"/>
          <w:sz w:val="20"/>
          <w:szCs w:val="20"/>
        </w:rPr>
        <w:t>os ejercicios 2010, 2011, 2012,</w:t>
      </w:r>
      <w:r w:rsidRPr="000908E2">
        <w:rPr>
          <w:rFonts w:asciiTheme="minorHAnsi" w:hAnsiTheme="minorHAnsi"/>
          <w:sz w:val="20"/>
          <w:szCs w:val="20"/>
        </w:rPr>
        <w:t xml:space="preserve"> 2013</w:t>
      </w:r>
      <w:r w:rsidR="00ED6EE1">
        <w:rPr>
          <w:rFonts w:asciiTheme="minorHAnsi" w:hAnsiTheme="minorHAnsi"/>
          <w:sz w:val="20"/>
          <w:szCs w:val="20"/>
        </w:rPr>
        <w:t>,</w:t>
      </w:r>
      <w:r>
        <w:rPr>
          <w:rFonts w:asciiTheme="minorHAnsi" w:hAnsiTheme="minorHAnsi"/>
          <w:sz w:val="20"/>
          <w:szCs w:val="20"/>
        </w:rPr>
        <w:t xml:space="preserve"> 2014</w:t>
      </w:r>
      <w:r w:rsidR="00ED6EE1">
        <w:rPr>
          <w:rFonts w:asciiTheme="minorHAnsi" w:hAnsiTheme="minorHAnsi"/>
          <w:sz w:val="20"/>
          <w:szCs w:val="20"/>
        </w:rPr>
        <w:t xml:space="preserve"> y 2015</w:t>
      </w:r>
      <w:r w:rsidRPr="000908E2">
        <w:rPr>
          <w:rFonts w:asciiTheme="minorHAnsi" w:hAnsiTheme="minorHAnsi"/>
          <w:sz w:val="20"/>
          <w:szCs w:val="20"/>
        </w:rPr>
        <w:t xml:space="preserve">, la reinversión de estos remanentes y sus rendimientos, utilizando el mismo instrumento de inversión a un plazo de 91 días, lo que ha generado rendimientos adicionales de conformidad con la instrucción del Comité Técnico del FIGAROSY. </w:t>
      </w:r>
    </w:p>
    <w:p w:rsidR="00764803" w:rsidRPr="000908E2" w:rsidRDefault="00764803" w:rsidP="00764803">
      <w:pPr>
        <w:pStyle w:val="Prrafodelista"/>
        <w:tabs>
          <w:tab w:val="left" w:pos="0"/>
          <w:tab w:val="left" w:pos="284"/>
        </w:tabs>
        <w:ind w:left="0"/>
        <w:jc w:val="both"/>
        <w:rPr>
          <w:rFonts w:asciiTheme="minorHAnsi" w:hAnsiTheme="minorHAnsi"/>
          <w:sz w:val="20"/>
          <w:szCs w:val="20"/>
        </w:rPr>
      </w:pPr>
    </w:p>
    <w:p w:rsidR="00764803" w:rsidRPr="000908E2" w:rsidRDefault="00764803" w:rsidP="00764803">
      <w:pPr>
        <w:pStyle w:val="Prrafodelista"/>
        <w:tabs>
          <w:tab w:val="left" w:pos="284"/>
        </w:tabs>
        <w:ind w:left="0"/>
        <w:jc w:val="both"/>
        <w:rPr>
          <w:rStyle w:val="nfasis"/>
          <w:rFonts w:asciiTheme="minorHAnsi" w:hAnsiTheme="minorHAnsi"/>
          <w:sz w:val="20"/>
          <w:szCs w:val="20"/>
        </w:rPr>
      </w:pPr>
      <w:r w:rsidRPr="000908E2">
        <w:rPr>
          <w:rFonts w:asciiTheme="minorHAnsi" w:hAnsiTheme="minorHAnsi"/>
          <w:sz w:val="20"/>
          <w:szCs w:val="20"/>
        </w:rPr>
        <w:t>A continuación, se informan las tasas de Inversiones a Plazo con Rendimiento Liquidable a</w:t>
      </w:r>
      <w:r>
        <w:rPr>
          <w:rFonts w:asciiTheme="minorHAnsi" w:hAnsiTheme="minorHAnsi"/>
          <w:sz w:val="20"/>
          <w:szCs w:val="20"/>
        </w:rPr>
        <w:t>l Vencimiento (PRLV), que se ha</w:t>
      </w:r>
      <w:r w:rsidRPr="000908E2">
        <w:rPr>
          <w:rFonts w:asciiTheme="minorHAnsi" w:hAnsiTheme="minorHAnsi"/>
          <w:sz w:val="20"/>
          <w:szCs w:val="20"/>
        </w:rPr>
        <w:t xml:space="preserve"> aplicado en los siguientes períodos: </w:t>
      </w:r>
    </w:p>
    <w:p w:rsidR="00764803" w:rsidRPr="000908E2" w:rsidRDefault="00764803" w:rsidP="00764803">
      <w:pPr>
        <w:rPr>
          <w:rFonts w:asciiTheme="minorHAnsi" w:hAnsiTheme="minorHAnsi" w:cs="Arial"/>
          <w:bCs/>
          <w:sz w:val="20"/>
          <w:szCs w:val="20"/>
        </w:rPr>
      </w:pPr>
    </w:p>
    <w:bookmarkStart w:id="10" w:name="_MON_1498553225"/>
    <w:bookmarkEnd w:id="10"/>
    <w:p w:rsidR="00764803" w:rsidRPr="000908E2" w:rsidRDefault="009D5F07" w:rsidP="00764803">
      <w:pPr>
        <w:jc w:val="center"/>
        <w:rPr>
          <w:rFonts w:asciiTheme="minorHAnsi" w:hAnsiTheme="minorHAnsi" w:cs="Arial"/>
          <w:bCs/>
          <w:sz w:val="20"/>
          <w:szCs w:val="20"/>
        </w:rPr>
      </w:pPr>
      <w:r w:rsidRPr="000908E2">
        <w:rPr>
          <w:rFonts w:asciiTheme="minorHAnsi" w:hAnsiTheme="minorHAnsi" w:cs="Arial"/>
          <w:bCs/>
          <w:sz w:val="20"/>
          <w:szCs w:val="20"/>
        </w:rPr>
        <w:object w:dxaOrig="6173" w:dyaOrig="1986">
          <v:shape id="_x0000_i1035" type="#_x0000_t75" style="width:308.4pt;height:100.2pt" o:ole="">
            <v:imagedata r:id="rId33" o:title=""/>
          </v:shape>
          <o:OLEObject Type="Embed" ProgID="Excel.Sheet.12" ShapeID="_x0000_i1035" DrawAspect="Content" ObjectID="_1555199766" r:id="rId34"/>
        </w:object>
      </w:r>
    </w:p>
    <w:p w:rsidR="00764803" w:rsidRDefault="00764803" w:rsidP="00764803">
      <w:pPr>
        <w:tabs>
          <w:tab w:val="left" w:pos="2310"/>
        </w:tabs>
        <w:rPr>
          <w:rFonts w:asciiTheme="minorHAnsi" w:hAnsiTheme="minorHAnsi" w:cs="Arial"/>
          <w:bCs/>
          <w:sz w:val="20"/>
          <w:szCs w:val="20"/>
        </w:rPr>
      </w:pPr>
    </w:p>
    <w:p w:rsidR="00945ECD" w:rsidRPr="000908E2" w:rsidRDefault="00945ECD" w:rsidP="00945ECD">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 xml:space="preserve">Para efectos de la información financiera del mes de </w:t>
      </w:r>
      <w:r w:rsidR="009D5F07">
        <w:rPr>
          <w:rFonts w:asciiTheme="minorHAnsi" w:hAnsiTheme="minorHAnsi"/>
          <w:sz w:val="20"/>
          <w:szCs w:val="20"/>
        </w:rPr>
        <w:t>Marzo de 2017</w:t>
      </w:r>
      <w:r w:rsidRPr="000908E2">
        <w:rPr>
          <w:rFonts w:asciiTheme="minorHAnsi" w:hAnsiTheme="minorHAnsi"/>
          <w:sz w:val="20"/>
          <w:szCs w:val="20"/>
        </w:rPr>
        <w:t>, se informa que el período de la inv</w:t>
      </w:r>
      <w:r>
        <w:rPr>
          <w:rFonts w:asciiTheme="minorHAnsi" w:hAnsiTheme="minorHAnsi"/>
          <w:sz w:val="20"/>
          <w:szCs w:val="20"/>
        </w:rPr>
        <w:t>ersión temporal que inició el 9</w:t>
      </w:r>
      <w:r w:rsidRPr="000908E2">
        <w:rPr>
          <w:rFonts w:asciiTheme="minorHAnsi" w:hAnsiTheme="minorHAnsi"/>
          <w:sz w:val="20"/>
          <w:szCs w:val="20"/>
        </w:rPr>
        <w:t xml:space="preserve"> de </w:t>
      </w:r>
      <w:r w:rsidR="009D5F07">
        <w:rPr>
          <w:rFonts w:asciiTheme="minorHAnsi" w:hAnsiTheme="minorHAnsi"/>
          <w:sz w:val="20"/>
          <w:szCs w:val="20"/>
        </w:rPr>
        <w:t>Dic</w:t>
      </w:r>
      <w:r>
        <w:rPr>
          <w:rFonts w:asciiTheme="minorHAnsi" w:hAnsiTheme="minorHAnsi"/>
          <w:sz w:val="20"/>
          <w:szCs w:val="20"/>
        </w:rPr>
        <w:t xml:space="preserve">iembre </w:t>
      </w:r>
      <w:r w:rsidR="009D5F07">
        <w:rPr>
          <w:rFonts w:asciiTheme="minorHAnsi" w:hAnsiTheme="minorHAnsi"/>
          <w:sz w:val="20"/>
          <w:szCs w:val="20"/>
        </w:rPr>
        <w:t xml:space="preserve">de 2016 </w:t>
      </w:r>
      <w:r>
        <w:rPr>
          <w:rFonts w:asciiTheme="minorHAnsi" w:hAnsiTheme="minorHAnsi"/>
          <w:sz w:val="20"/>
          <w:szCs w:val="20"/>
        </w:rPr>
        <w:t>y concluyó el 8</w:t>
      </w:r>
      <w:r w:rsidRPr="000908E2">
        <w:rPr>
          <w:rFonts w:asciiTheme="minorHAnsi" w:hAnsiTheme="minorHAnsi"/>
          <w:sz w:val="20"/>
          <w:szCs w:val="20"/>
        </w:rPr>
        <w:t xml:space="preserve"> de </w:t>
      </w:r>
      <w:r w:rsidR="009D5F07">
        <w:rPr>
          <w:rFonts w:asciiTheme="minorHAnsi" w:hAnsiTheme="minorHAnsi"/>
          <w:sz w:val="20"/>
          <w:szCs w:val="20"/>
        </w:rPr>
        <w:t>Marzo</w:t>
      </w:r>
      <w:r w:rsidRPr="000908E2">
        <w:rPr>
          <w:rFonts w:asciiTheme="minorHAnsi" w:hAnsiTheme="minorHAnsi"/>
          <w:sz w:val="20"/>
          <w:szCs w:val="20"/>
        </w:rPr>
        <w:t xml:space="preserve"> de 201</w:t>
      </w:r>
      <w:r w:rsidR="009D5F07">
        <w:rPr>
          <w:rFonts w:asciiTheme="minorHAnsi" w:hAnsiTheme="minorHAnsi"/>
          <w:sz w:val="20"/>
          <w:szCs w:val="20"/>
        </w:rPr>
        <w:t>7</w:t>
      </w:r>
      <w:r w:rsidR="00380A97">
        <w:rPr>
          <w:rFonts w:asciiTheme="minorHAnsi" w:hAnsiTheme="minorHAnsi"/>
          <w:sz w:val="20"/>
          <w:szCs w:val="20"/>
        </w:rPr>
        <w:t>, acumula</w:t>
      </w:r>
      <w:r>
        <w:rPr>
          <w:rFonts w:asciiTheme="minorHAnsi" w:hAnsiTheme="minorHAnsi"/>
          <w:sz w:val="20"/>
          <w:szCs w:val="20"/>
        </w:rPr>
        <w:t xml:space="preserve"> la suma total de</w:t>
      </w:r>
      <w:r w:rsidR="009D5F07">
        <w:rPr>
          <w:rFonts w:asciiTheme="minorHAnsi" w:hAnsiTheme="minorHAnsi"/>
          <w:sz w:val="20"/>
          <w:szCs w:val="20"/>
        </w:rPr>
        <w:t xml:space="preserve">                    </w:t>
      </w:r>
      <w:r>
        <w:rPr>
          <w:rFonts w:asciiTheme="minorHAnsi" w:hAnsiTheme="minorHAnsi"/>
          <w:sz w:val="20"/>
          <w:szCs w:val="20"/>
        </w:rPr>
        <w:t xml:space="preserve"> $ 4´</w:t>
      </w:r>
      <w:r w:rsidR="009D5F07">
        <w:rPr>
          <w:rFonts w:asciiTheme="minorHAnsi" w:hAnsiTheme="minorHAnsi"/>
          <w:sz w:val="20"/>
          <w:szCs w:val="20"/>
        </w:rPr>
        <w:t>383,005</w:t>
      </w:r>
      <w:r w:rsidRPr="000908E2">
        <w:rPr>
          <w:rFonts w:asciiTheme="minorHAnsi" w:hAnsiTheme="minorHAnsi"/>
          <w:sz w:val="20"/>
          <w:szCs w:val="20"/>
        </w:rPr>
        <w:t xml:space="preserve">.00, la que se reinvirtió al mismo </w:t>
      </w:r>
      <w:r>
        <w:rPr>
          <w:rFonts w:asciiTheme="minorHAnsi" w:hAnsiTheme="minorHAnsi"/>
          <w:sz w:val="20"/>
          <w:szCs w:val="20"/>
        </w:rPr>
        <w:t>plazo de 91 días a partir del 9</w:t>
      </w:r>
      <w:r w:rsidRPr="000908E2">
        <w:rPr>
          <w:rFonts w:asciiTheme="minorHAnsi" w:hAnsiTheme="minorHAnsi"/>
          <w:sz w:val="20"/>
          <w:szCs w:val="20"/>
        </w:rPr>
        <w:t xml:space="preserve"> de </w:t>
      </w:r>
      <w:r w:rsidR="009D5F07">
        <w:rPr>
          <w:rFonts w:asciiTheme="minorHAnsi" w:hAnsiTheme="minorHAnsi"/>
          <w:sz w:val="20"/>
          <w:szCs w:val="20"/>
        </w:rPr>
        <w:t>Marzo</w:t>
      </w:r>
      <w:r>
        <w:rPr>
          <w:rFonts w:asciiTheme="minorHAnsi" w:hAnsiTheme="minorHAnsi"/>
          <w:sz w:val="20"/>
          <w:szCs w:val="20"/>
        </w:rPr>
        <w:t xml:space="preserve"> de 2016</w:t>
      </w:r>
      <w:r w:rsidRPr="000908E2">
        <w:rPr>
          <w:rFonts w:asciiTheme="minorHAnsi" w:hAnsiTheme="minorHAnsi"/>
          <w:sz w:val="20"/>
          <w:szCs w:val="20"/>
        </w:rPr>
        <w:t xml:space="preserve">, por lo que su vencimiento será el </w:t>
      </w:r>
      <w:r w:rsidR="009D5F07">
        <w:rPr>
          <w:rFonts w:asciiTheme="minorHAnsi" w:hAnsiTheme="minorHAnsi"/>
          <w:sz w:val="20"/>
          <w:szCs w:val="20"/>
        </w:rPr>
        <w:t>16</w:t>
      </w:r>
      <w:r w:rsidRPr="000908E2">
        <w:rPr>
          <w:rFonts w:asciiTheme="minorHAnsi" w:hAnsiTheme="minorHAnsi"/>
          <w:sz w:val="20"/>
          <w:szCs w:val="20"/>
        </w:rPr>
        <w:t xml:space="preserve"> de </w:t>
      </w:r>
      <w:r w:rsidR="009D5F07">
        <w:rPr>
          <w:rFonts w:asciiTheme="minorHAnsi" w:hAnsiTheme="minorHAnsi"/>
          <w:sz w:val="20"/>
          <w:szCs w:val="20"/>
        </w:rPr>
        <w:t>Junio</w:t>
      </w:r>
      <w:r>
        <w:rPr>
          <w:rFonts w:asciiTheme="minorHAnsi" w:hAnsiTheme="minorHAnsi"/>
          <w:sz w:val="20"/>
          <w:szCs w:val="20"/>
        </w:rPr>
        <w:t xml:space="preserve"> de 2017</w:t>
      </w:r>
      <w:r w:rsidRPr="000908E2">
        <w:rPr>
          <w:rFonts w:asciiTheme="minorHAnsi" w:hAnsiTheme="minorHAnsi"/>
          <w:sz w:val="20"/>
          <w:szCs w:val="20"/>
        </w:rPr>
        <w:t xml:space="preserve">. La tasa de Inversiones a Plazo con Rendimiento Liquidable al Vencimiento </w:t>
      </w:r>
      <w:r>
        <w:rPr>
          <w:rFonts w:asciiTheme="minorHAnsi" w:hAnsiTheme="minorHAnsi"/>
          <w:sz w:val="20"/>
          <w:szCs w:val="20"/>
        </w:rPr>
        <w:t>(PRLV) durante el período del 9</w:t>
      </w:r>
      <w:r w:rsidRPr="000908E2">
        <w:rPr>
          <w:rFonts w:asciiTheme="minorHAnsi" w:hAnsiTheme="minorHAnsi"/>
          <w:sz w:val="20"/>
          <w:szCs w:val="20"/>
        </w:rPr>
        <w:t xml:space="preserve"> de </w:t>
      </w:r>
      <w:r w:rsidR="009D5F07">
        <w:rPr>
          <w:rFonts w:asciiTheme="minorHAnsi" w:hAnsiTheme="minorHAnsi"/>
          <w:sz w:val="20"/>
          <w:szCs w:val="20"/>
        </w:rPr>
        <w:t>Dic</w:t>
      </w:r>
      <w:r>
        <w:rPr>
          <w:rFonts w:asciiTheme="minorHAnsi" w:hAnsiTheme="minorHAnsi"/>
          <w:sz w:val="20"/>
          <w:szCs w:val="20"/>
        </w:rPr>
        <w:t xml:space="preserve">iembre </w:t>
      </w:r>
      <w:r w:rsidR="009D5F07">
        <w:rPr>
          <w:rFonts w:asciiTheme="minorHAnsi" w:hAnsiTheme="minorHAnsi"/>
          <w:sz w:val="20"/>
          <w:szCs w:val="20"/>
        </w:rPr>
        <w:t xml:space="preserve">de 2016 </w:t>
      </w:r>
      <w:r w:rsidRPr="000908E2">
        <w:rPr>
          <w:rFonts w:asciiTheme="minorHAnsi" w:hAnsiTheme="minorHAnsi"/>
          <w:sz w:val="20"/>
          <w:szCs w:val="20"/>
        </w:rPr>
        <w:t xml:space="preserve">al </w:t>
      </w:r>
      <w:r>
        <w:rPr>
          <w:rFonts w:asciiTheme="minorHAnsi" w:hAnsiTheme="minorHAnsi"/>
          <w:sz w:val="20"/>
          <w:szCs w:val="20"/>
        </w:rPr>
        <w:t>8</w:t>
      </w:r>
      <w:r w:rsidRPr="000908E2">
        <w:rPr>
          <w:rFonts w:asciiTheme="minorHAnsi" w:hAnsiTheme="minorHAnsi"/>
          <w:sz w:val="20"/>
          <w:szCs w:val="20"/>
        </w:rPr>
        <w:t xml:space="preserve"> de</w:t>
      </w:r>
      <w:r>
        <w:rPr>
          <w:rFonts w:asciiTheme="minorHAnsi" w:hAnsiTheme="minorHAnsi"/>
          <w:sz w:val="20"/>
          <w:szCs w:val="20"/>
        </w:rPr>
        <w:t xml:space="preserve"> </w:t>
      </w:r>
      <w:r w:rsidR="009D5F07">
        <w:rPr>
          <w:rFonts w:asciiTheme="minorHAnsi" w:hAnsiTheme="minorHAnsi"/>
          <w:sz w:val="20"/>
          <w:szCs w:val="20"/>
        </w:rPr>
        <w:t>Marzo de 2017</w:t>
      </w:r>
      <w:r>
        <w:rPr>
          <w:rFonts w:asciiTheme="minorHAnsi" w:hAnsiTheme="minorHAnsi"/>
          <w:sz w:val="20"/>
          <w:szCs w:val="20"/>
        </w:rPr>
        <w:t xml:space="preserve"> fue de </w:t>
      </w:r>
      <w:r w:rsidR="009D5F07">
        <w:rPr>
          <w:rFonts w:asciiTheme="minorHAnsi" w:hAnsiTheme="minorHAnsi"/>
          <w:sz w:val="20"/>
          <w:szCs w:val="20"/>
        </w:rPr>
        <w:t>5.70</w:t>
      </w:r>
      <w:r w:rsidRPr="000908E2">
        <w:rPr>
          <w:rFonts w:asciiTheme="minorHAnsi" w:hAnsiTheme="minorHAnsi"/>
          <w:sz w:val="20"/>
          <w:szCs w:val="20"/>
        </w:rPr>
        <w:t xml:space="preserve"> %, y la tasa por el período que se </w:t>
      </w:r>
      <w:r>
        <w:rPr>
          <w:rFonts w:asciiTheme="minorHAnsi" w:hAnsiTheme="minorHAnsi"/>
          <w:sz w:val="20"/>
          <w:szCs w:val="20"/>
        </w:rPr>
        <w:t>reinvirtió, que comprende del 9</w:t>
      </w:r>
      <w:r w:rsidRPr="000908E2">
        <w:rPr>
          <w:rFonts w:asciiTheme="minorHAnsi" w:hAnsiTheme="minorHAnsi"/>
          <w:sz w:val="20"/>
          <w:szCs w:val="20"/>
        </w:rPr>
        <w:t xml:space="preserve"> de </w:t>
      </w:r>
      <w:r w:rsidR="009D5F07">
        <w:rPr>
          <w:rFonts w:asciiTheme="minorHAnsi" w:hAnsiTheme="minorHAnsi"/>
          <w:sz w:val="20"/>
          <w:szCs w:val="20"/>
        </w:rPr>
        <w:t>Marzo</w:t>
      </w:r>
      <w:r w:rsidRPr="000908E2">
        <w:rPr>
          <w:rFonts w:asciiTheme="minorHAnsi" w:hAnsiTheme="minorHAnsi"/>
          <w:sz w:val="20"/>
          <w:szCs w:val="20"/>
        </w:rPr>
        <w:t xml:space="preserve"> al </w:t>
      </w:r>
      <w:r w:rsidR="009D5F07">
        <w:rPr>
          <w:rFonts w:asciiTheme="minorHAnsi" w:hAnsiTheme="minorHAnsi"/>
          <w:sz w:val="20"/>
          <w:szCs w:val="20"/>
        </w:rPr>
        <w:t>16</w:t>
      </w:r>
      <w:r w:rsidRPr="000908E2">
        <w:rPr>
          <w:rFonts w:asciiTheme="minorHAnsi" w:hAnsiTheme="minorHAnsi"/>
          <w:sz w:val="20"/>
          <w:szCs w:val="20"/>
        </w:rPr>
        <w:t xml:space="preserve"> de </w:t>
      </w:r>
      <w:r w:rsidR="009D5F07">
        <w:rPr>
          <w:rFonts w:asciiTheme="minorHAnsi" w:hAnsiTheme="minorHAnsi"/>
          <w:sz w:val="20"/>
          <w:szCs w:val="20"/>
        </w:rPr>
        <w:t>Junio</w:t>
      </w:r>
      <w:r>
        <w:rPr>
          <w:rFonts w:asciiTheme="minorHAnsi" w:hAnsiTheme="minorHAnsi"/>
          <w:sz w:val="20"/>
          <w:szCs w:val="20"/>
        </w:rPr>
        <w:t xml:space="preserve"> de 2017, es de </w:t>
      </w:r>
      <w:r w:rsidR="009D5F07">
        <w:rPr>
          <w:rFonts w:asciiTheme="minorHAnsi" w:hAnsiTheme="minorHAnsi"/>
          <w:sz w:val="20"/>
          <w:szCs w:val="20"/>
        </w:rPr>
        <w:t>6.65</w:t>
      </w:r>
      <w:r>
        <w:rPr>
          <w:rFonts w:asciiTheme="minorHAnsi" w:hAnsiTheme="minorHAnsi"/>
          <w:sz w:val="20"/>
          <w:szCs w:val="20"/>
        </w:rPr>
        <w:t xml:space="preserve"> </w:t>
      </w:r>
      <w:r w:rsidRPr="000908E2">
        <w:rPr>
          <w:rFonts w:asciiTheme="minorHAnsi" w:hAnsiTheme="minorHAnsi"/>
          <w:sz w:val="20"/>
          <w:szCs w:val="20"/>
        </w:rPr>
        <w:t>%.</w:t>
      </w:r>
    </w:p>
    <w:p w:rsidR="00945ECD" w:rsidRPr="000908E2" w:rsidRDefault="00945ECD" w:rsidP="00764803">
      <w:pPr>
        <w:tabs>
          <w:tab w:val="left" w:pos="2310"/>
        </w:tabs>
        <w:rPr>
          <w:rFonts w:asciiTheme="minorHAnsi" w:hAnsiTheme="minorHAnsi" w:cs="Arial"/>
          <w:bCs/>
          <w:sz w:val="20"/>
          <w:szCs w:val="20"/>
        </w:rPr>
      </w:pP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A continuación, se detalla el monto invertido</w:t>
      </w:r>
      <w:r>
        <w:rPr>
          <w:rFonts w:asciiTheme="minorHAnsi" w:hAnsiTheme="minorHAnsi"/>
          <w:sz w:val="20"/>
          <w:szCs w:val="20"/>
        </w:rPr>
        <w:t xml:space="preserve"> con corte al 31</w:t>
      </w:r>
      <w:r w:rsidRPr="000908E2">
        <w:rPr>
          <w:rFonts w:asciiTheme="minorHAnsi" w:hAnsiTheme="minorHAnsi"/>
          <w:sz w:val="20"/>
          <w:szCs w:val="20"/>
        </w:rPr>
        <w:t xml:space="preserve"> de </w:t>
      </w:r>
      <w:r w:rsidR="00E330B8">
        <w:rPr>
          <w:rFonts w:asciiTheme="minorHAnsi" w:hAnsiTheme="minorHAnsi"/>
          <w:sz w:val="20"/>
          <w:szCs w:val="20"/>
        </w:rPr>
        <w:t>Marzo de 2017</w:t>
      </w:r>
      <w:r w:rsidRPr="000908E2">
        <w:rPr>
          <w:rFonts w:asciiTheme="minorHAnsi" w:hAnsiTheme="minorHAnsi"/>
          <w:sz w:val="20"/>
          <w:szCs w:val="20"/>
        </w:rPr>
        <w:t xml:space="preserve"> y el rendimiento generado en el mes de </w:t>
      </w:r>
      <w:r w:rsidR="00E330B8">
        <w:rPr>
          <w:rFonts w:asciiTheme="minorHAnsi" w:hAnsiTheme="minorHAnsi"/>
          <w:sz w:val="20"/>
          <w:szCs w:val="20"/>
        </w:rPr>
        <w:t>Marzo</w:t>
      </w:r>
      <w:r w:rsidRPr="000908E2">
        <w:rPr>
          <w:rFonts w:asciiTheme="minorHAnsi" w:hAnsiTheme="minorHAnsi"/>
          <w:sz w:val="20"/>
          <w:szCs w:val="20"/>
        </w:rPr>
        <w:t xml:space="preserve"> de 201</w:t>
      </w:r>
      <w:r w:rsidR="00E330B8">
        <w:rPr>
          <w:rFonts w:asciiTheme="minorHAnsi" w:hAnsiTheme="minorHAnsi"/>
          <w:sz w:val="20"/>
          <w:szCs w:val="20"/>
        </w:rPr>
        <w:t>7</w:t>
      </w:r>
      <w:r w:rsidRPr="000908E2">
        <w:rPr>
          <w:rFonts w:asciiTheme="minorHAnsi" w:hAnsiTheme="minorHAnsi"/>
          <w:sz w:val="20"/>
          <w:szCs w:val="20"/>
        </w:rPr>
        <w:t>:</w:t>
      </w:r>
    </w:p>
    <w:p w:rsidR="00764803" w:rsidRPr="000908E2" w:rsidRDefault="00764803" w:rsidP="00764803">
      <w:pPr>
        <w:rPr>
          <w:rFonts w:asciiTheme="minorHAnsi" w:hAnsiTheme="minorHAnsi"/>
          <w:sz w:val="20"/>
          <w:szCs w:val="20"/>
        </w:rPr>
      </w:pPr>
    </w:p>
    <w:bookmarkStart w:id="11" w:name="_MON_1464541719"/>
    <w:bookmarkEnd w:id="11"/>
    <w:p w:rsidR="00764803" w:rsidRDefault="009D5F07" w:rsidP="00764803">
      <w:pPr>
        <w:jc w:val="center"/>
        <w:rPr>
          <w:rFonts w:asciiTheme="minorHAnsi" w:hAnsiTheme="minorHAnsi" w:cs="Arial"/>
          <w:bCs/>
          <w:sz w:val="20"/>
          <w:szCs w:val="20"/>
        </w:rPr>
      </w:pPr>
      <w:r w:rsidRPr="000908E2">
        <w:rPr>
          <w:rFonts w:asciiTheme="minorHAnsi" w:hAnsiTheme="minorHAnsi" w:cs="Arial"/>
          <w:bCs/>
          <w:sz w:val="20"/>
          <w:szCs w:val="20"/>
        </w:rPr>
        <w:object w:dxaOrig="9286" w:dyaOrig="1832">
          <v:shape id="_x0000_i1036" type="#_x0000_t75" style="width:463.2pt;height:91.8pt" o:ole="">
            <v:imagedata r:id="rId35" o:title=""/>
          </v:shape>
          <o:OLEObject Type="Embed" ProgID="Excel.Sheet.8" ShapeID="_x0000_i1036" DrawAspect="Content" ObjectID="_1555199767" r:id="rId36"/>
        </w:object>
      </w:r>
    </w:p>
    <w:p w:rsidR="00764803" w:rsidRPr="000908E2" w:rsidRDefault="00764803" w:rsidP="00764803">
      <w:pPr>
        <w:rPr>
          <w:rFonts w:asciiTheme="minorHAnsi" w:hAnsiTheme="minorHAnsi"/>
          <w:sz w:val="20"/>
          <w:szCs w:val="20"/>
        </w:rPr>
      </w:pPr>
    </w:p>
    <w:p w:rsidR="00764803" w:rsidRPr="000908E2" w:rsidRDefault="00764803" w:rsidP="00F23328">
      <w:pPr>
        <w:pStyle w:val="Prrafodelista"/>
        <w:numPr>
          <w:ilvl w:val="2"/>
          <w:numId w:val="38"/>
        </w:numPr>
        <w:tabs>
          <w:tab w:val="left" w:pos="0"/>
          <w:tab w:val="left" w:pos="426"/>
        </w:tabs>
        <w:ind w:left="0" w:firstLine="0"/>
        <w:rPr>
          <w:rFonts w:asciiTheme="minorHAnsi" w:hAnsiTheme="minorHAnsi"/>
          <w:b/>
          <w:sz w:val="20"/>
          <w:szCs w:val="20"/>
        </w:rPr>
      </w:pPr>
      <w:r>
        <w:rPr>
          <w:rFonts w:asciiTheme="minorHAnsi" w:hAnsiTheme="minorHAnsi"/>
          <w:b/>
          <w:sz w:val="20"/>
          <w:szCs w:val="20"/>
        </w:rPr>
        <w:t xml:space="preserve"> </w:t>
      </w:r>
      <w:r w:rsidRPr="000908E2">
        <w:rPr>
          <w:rFonts w:asciiTheme="minorHAnsi" w:hAnsiTheme="minorHAnsi"/>
          <w:b/>
          <w:sz w:val="20"/>
          <w:szCs w:val="20"/>
        </w:rPr>
        <w:t>Bienes muebles, Inmuebles e Intangibles</w:t>
      </w:r>
    </w:p>
    <w:p w:rsidR="00764803" w:rsidRPr="000908E2" w:rsidRDefault="00764803" w:rsidP="00764803">
      <w:pPr>
        <w:pStyle w:val="Prrafodelista"/>
        <w:tabs>
          <w:tab w:val="left" w:pos="426"/>
        </w:tabs>
        <w:ind w:left="0"/>
        <w:rPr>
          <w:rFonts w:asciiTheme="minorHAnsi" w:hAnsiTheme="minorHAnsi"/>
          <w:sz w:val="20"/>
          <w:szCs w:val="20"/>
        </w:rPr>
      </w:pP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tabs>
          <w:tab w:val="left" w:pos="284"/>
        </w:tabs>
        <w:ind w:left="0"/>
        <w:rPr>
          <w:rFonts w:asciiTheme="minorHAnsi" w:hAnsiTheme="minorHAnsi"/>
          <w:sz w:val="20"/>
          <w:szCs w:val="20"/>
        </w:rPr>
      </w:pPr>
      <w:r w:rsidRPr="000908E2">
        <w:rPr>
          <w:rFonts w:asciiTheme="minorHAnsi" w:hAnsiTheme="minorHAnsi"/>
          <w:b/>
          <w:sz w:val="20"/>
          <w:szCs w:val="20"/>
        </w:rPr>
        <w:t>1.1.5.1</w:t>
      </w:r>
      <w:r w:rsidRPr="000908E2">
        <w:rPr>
          <w:rFonts w:asciiTheme="minorHAnsi" w:hAnsiTheme="minorHAnsi"/>
          <w:sz w:val="20"/>
          <w:szCs w:val="20"/>
        </w:rPr>
        <w:t xml:space="preserve"> El rubro de Bienes muebles </w:t>
      </w:r>
      <w:r>
        <w:rPr>
          <w:rFonts w:asciiTheme="minorHAnsi" w:hAnsiTheme="minorHAnsi"/>
          <w:sz w:val="20"/>
          <w:szCs w:val="20"/>
        </w:rPr>
        <w:t>al 31</w:t>
      </w:r>
      <w:r w:rsidRPr="000908E2">
        <w:rPr>
          <w:rFonts w:asciiTheme="minorHAnsi" w:hAnsiTheme="minorHAnsi"/>
          <w:sz w:val="20"/>
          <w:szCs w:val="20"/>
        </w:rPr>
        <w:t xml:space="preserve"> de </w:t>
      </w:r>
      <w:r w:rsidR="00E330B8">
        <w:rPr>
          <w:rFonts w:asciiTheme="minorHAnsi" w:hAnsiTheme="minorHAnsi"/>
          <w:sz w:val="20"/>
          <w:szCs w:val="20"/>
        </w:rPr>
        <w:t>Marzo</w:t>
      </w:r>
      <w:r>
        <w:rPr>
          <w:rFonts w:asciiTheme="minorHAnsi" w:hAnsiTheme="minorHAnsi"/>
          <w:sz w:val="20"/>
          <w:szCs w:val="20"/>
        </w:rPr>
        <w:t xml:space="preserve"> </w:t>
      </w:r>
      <w:r w:rsidRPr="000908E2">
        <w:rPr>
          <w:rFonts w:asciiTheme="minorHAnsi" w:hAnsiTheme="minorHAnsi"/>
          <w:sz w:val="20"/>
          <w:szCs w:val="20"/>
        </w:rPr>
        <w:t>de 201</w:t>
      </w:r>
      <w:r w:rsidR="00E330B8">
        <w:rPr>
          <w:rFonts w:asciiTheme="minorHAnsi" w:hAnsiTheme="minorHAnsi"/>
          <w:sz w:val="20"/>
          <w:szCs w:val="20"/>
        </w:rPr>
        <w:t>7</w:t>
      </w:r>
      <w:r w:rsidRPr="000908E2">
        <w:rPr>
          <w:rFonts w:asciiTheme="minorHAnsi" w:hAnsiTheme="minorHAnsi"/>
          <w:sz w:val="20"/>
          <w:szCs w:val="20"/>
        </w:rPr>
        <w:t>, se encuentra integrado de la siguiente manera:</w:t>
      </w:r>
    </w:p>
    <w:p w:rsidR="00764803" w:rsidRPr="000908E2" w:rsidRDefault="00764803" w:rsidP="00764803">
      <w:pPr>
        <w:pStyle w:val="Prrafodelista"/>
        <w:tabs>
          <w:tab w:val="left" w:pos="426"/>
        </w:tabs>
        <w:ind w:left="0"/>
        <w:rPr>
          <w:rFonts w:asciiTheme="minorHAnsi" w:hAnsiTheme="minorHAnsi"/>
          <w:sz w:val="20"/>
          <w:szCs w:val="20"/>
        </w:rPr>
      </w:pPr>
    </w:p>
    <w:bookmarkStart w:id="12" w:name="_MON_1517147206"/>
    <w:bookmarkStart w:id="13" w:name="_MON_1469525738"/>
    <w:bookmarkEnd w:id="12"/>
    <w:bookmarkEnd w:id="13"/>
    <w:p w:rsidR="00764803" w:rsidRDefault="0006042F" w:rsidP="00764803">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7046" w:dyaOrig="1158">
          <v:shape id="_x0000_i1037" type="#_x0000_t75" style="width:352.8pt;height:57.6pt" o:ole="">
            <v:imagedata r:id="rId37" o:title=""/>
          </v:shape>
          <o:OLEObject Type="Embed" ProgID="Excel.Sheet.8" ShapeID="_x0000_i1037" DrawAspect="Content" ObjectID="_1555199768" r:id="rId38"/>
        </w:object>
      </w:r>
    </w:p>
    <w:p w:rsidR="00764803" w:rsidRPr="000908E2" w:rsidRDefault="00764803" w:rsidP="00764803">
      <w:pPr>
        <w:pStyle w:val="Prrafodelista"/>
        <w:tabs>
          <w:tab w:val="left" w:pos="426"/>
        </w:tabs>
        <w:ind w:left="0"/>
        <w:rPr>
          <w:rFonts w:asciiTheme="minorHAnsi" w:hAnsiTheme="minorHAnsi"/>
          <w:sz w:val="20"/>
          <w:szCs w:val="20"/>
        </w:rPr>
      </w:pPr>
    </w:p>
    <w:p w:rsidR="00764803" w:rsidRPr="000908E2" w:rsidRDefault="00764803" w:rsidP="00764803">
      <w:pPr>
        <w:pStyle w:val="Prrafodelista"/>
        <w:tabs>
          <w:tab w:val="left" w:pos="426"/>
        </w:tabs>
        <w:ind w:left="0"/>
        <w:rPr>
          <w:rFonts w:asciiTheme="minorHAnsi" w:hAnsiTheme="minorHAnsi"/>
          <w:sz w:val="20"/>
          <w:szCs w:val="20"/>
        </w:rPr>
      </w:pPr>
      <w:r w:rsidRPr="000908E2">
        <w:rPr>
          <w:rFonts w:asciiTheme="minorHAnsi" w:hAnsiTheme="minorHAnsi"/>
          <w:b/>
          <w:sz w:val="20"/>
          <w:szCs w:val="20"/>
        </w:rPr>
        <w:t>1.1.5.1.1</w:t>
      </w:r>
      <w:r w:rsidRPr="000908E2">
        <w:rPr>
          <w:rFonts w:asciiTheme="minorHAnsi" w:hAnsiTheme="minorHAnsi"/>
          <w:sz w:val="20"/>
          <w:szCs w:val="20"/>
        </w:rPr>
        <w:t xml:space="preserve"> La cuenta de mobiliario y equipo de administración se integra de la siguiente manera:</w:t>
      </w:r>
    </w:p>
    <w:p w:rsidR="00764803" w:rsidRPr="000908E2" w:rsidRDefault="00764803" w:rsidP="00764803">
      <w:pPr>
        <w:rPr>
          <w:rFonts w:asciiTheme="minorHAnsi" w:hAnsiTheme="minorHAnsi"/>
          <w:sz w:val="20"/>
          <w:szCs w:val="20"/>
        </w:rPr>
      </w:pPr>
    </w:p>
    <w:p w:rsidR="00764803" w:rsidRPr="000908E2" w:rsidRDefault="00764803" w:rsidP="00764803">
      <w:pPr>
        <w:rPr>
          <w:rFonts w:asciiTheme="minorHAnsi" w:hAnsiTheme="minorHAnsi"/>
          <w:sz w:val="20"/>
          <w:szCs w:val="20"/>
        </w:rPr>
      </w:pPr>
    </w:p>
    <w:bookmarkStart w:id="14" w:name="_MON_1464546082"/>
    <w:bookmarkEnd w:id="14"/>
    <w:p w:rsidR="00764803" w:rsidRPr="000908E2" w:rsidRDefault="008F5278" w:rsidP="00764803">
      <w:pPr>
        <w:pStyle w:val="Prrafodelista"/>
        <w:tabs>
          <w:tab w:val="left" w:pos="426"/>
        </w:tabs>
        <w:ind w:left="0"/>
        <w:jc w:val="center"/>
        <w:rPr>
          <w:rFonts w:asciiTheme="minorHAnsi" w:hAnsiTheme="minorHAnsi"/>
          <w:sz w:val="20"/>
          <w:szCs w:val="20"/>
        </w:rPr>
      </w:pPr>
      <w:r w:rsidRPr="000908E2">
        <w:rPr>
          <w:rFonts w:asciiTheme="minorHAnsi" w:hAnsiTheme="minorHAnsi"/>
          <w:bCs/>
          <w:sz w:val="20"/>
          <w:szCs w:val="20"/>
        </w:rPr>
        <w:object w:dxaOrig="8807" w:dyaOrig="2060">
          <v:shape id="_x0000_i1038" type="#_x0000_t75" style="width:439.8pt;height:102pt" o:ole="">
            <v:imagedata r:id="rId39" o:title=""/>
          </v:shape>
          <o:OLEObject Type="Embed" ProgID="Excel.Sheet.8" ShapeID="_x0000_i1038" DrawAspect="Content" ObjectID="_1555199769" r:id="rId40"/>
        </w:object>
      </w:r>
    </w:p>
    <w:p w:rsidR="00764803" w:rsidRPr="000908E2" w:rsidRDefault="00764803" w:rsidP="00764803">
      <w:pPr>
        <w:pStyle w:val="Textoindependiente"/>
        <w:rPr>
          <w:rFonts w:asciiTheme="minorHAnsi" w:hAnsiTheme="minorHAnsi"/>
          <w:bCs w:val="0"/>
          <w:sz w:val="20"/>
          <w:szCs w:val="20"/>
        </w:rPr>
      </w:pPr>
    </w:p>
    <w:p w:rsidR="00764803" w:rsidRPr="000908E2" w:rsidRDefault="00764803" w:rsidP="00764803">
      <w:pPr>
        <w:pStyle w:val="Textoindependiente"/>
        <w:rPr>
          <w:rFonts w:asciiTheme="minorHAnsi" w:hAnsiTheme="minorHAnsi"/>
          <w:bCs w:val="0"/>
          <w:sz w:val="20"/>
          <w:szCs w:val="20"/>
        </w:rPr>
      </w:pPr>
    </w:p>
    <w:p w:rsidR="00764803" w:rsidRDefault="00131E79" w:rsidP="00764803">
      <w:pPr>
        <w:pStyle w:val="Textoindependiente"/>
        <w:rPr>
          <w:rFonts w:asciiTheme="minorHAnsi" w:hAnsiTheme="minorHAnsi"/>
          <w:bCs w:val="0"/>
          <w:sz w:val="20"/>
          <w:szCs w:val="20"/>
        </w:rPr>
      </w:pPr>
      <w:r>
        <w:rPr>
          <w:rFonts w:asciiTheme="minorHAnsi" w:hAnsiTheme="minorHAnsi"/>
          <w:bCs w:val="0"/>
          <w:sz w:val="20"/>
          <w:szCs w:val="20"/>
        </w:rPr>
        <w:t>Durante el período del 1 al 31</w:t>
      </w:r>
      <w:r w:rsidR="00764803" w:rsidRPr="000908E2">
        <w:rPr>
          <w:rFonts w:asciiTheme="minorHAnsi" w:hAnsiTheme="minorHAnsi"/>
          <w:bCs w:val="0"/>
          <w:sz w:val="20"/>
          <w:szCs w:val="20"/>
        </w:rPr>
        <w:t xml:space="preserve"> de </w:t>
      </w:r>
      <w:r w:rsidR="008F5278">
        <w:rPr>
          <w:rFonts w:asciiTheme="minorHAnsi" w:hAnsiTheme="minorHAnsi"/>
          <w:bCs w:val="0"/>
          <w:sz w:val="20"/>
          <w:szCs w:val="20"/>
        </w:rPr>
        <w:t>Marzo</w:t>
      </w:r>
      <w:r w:rsidR="00764803" w:rsidRPr="000908E2">
        <w:rPr>
          <w:rFonts w:asciiTheme="minorHAnsi" w:hAnsiTheme="minorHAnsi"/>
          <w:bCs w:val="0"/>
          <w:sz w:val="20"/>
          <w:szCs w:val="20"/>
        </w:rPr>
        <w:t xml:space="preserve"> del presente año,</w:t>
      </w:r>
      <w:r w:rsidR="00764803">
        <w:rPr>
          <w:rFonts w:asciiTheme="minorHAnsi" w:hAnsiTheme="minorHAnsi"/>
          <w:bCs w:val="0"/>
          <w:sz w:val="20"/>
          <w:szCs w:val="20"/>
        </w:rPr>
        <w:t xml:space="preserve"> </w:t>
      </w:r>
      <w:r>
        <w:rPr>
          <w:rFonts w:asciiTheme="minorHAnsi" w:hAnsiTheme="minorHAnsi"/>
          <w:bCs w:val="0"/>
          <w:sz w:val="20"/>
          <w:szCs w:val="20"/>
        </w:rPr>
        <w:t>se</w:t>
      </w:r>
      <w:r w:rsidR="000B52D8">
        <w:rPr>
          <w:rFonts w:asciiTheme="minorHAnsi" w:hAnsiTheme="minorHAnsi"/>
          <w:bCs w:val="0"/>
          <w:sz w:val="20"/>
          <w:szCs w:val="20"/>
        </w:rPr>
        <w:t xml:space="preserve"> adquirieron tres</w:t>
      </w:r>
      <w:r w:rsidR="000E2E67">
        <w:rPr>
          <w:rFonts w:asciiTheme="minorHAnsi" w:hAnsiTheme="minorHAnsi"/>
          <w:bCs w:val="0"/>
          <w:sz w:val="20"/>
          <w:szCs w:val="20"/>
        </w:rPr>
        <w:t xml:space="preserve"> </w:t>
      </w:r>
      <w:r w:rsidR="000B52D8">
        <w:rPr>
          <w:rFonts w:asciiTheme="minorHAnsi" w:hAnsiTheme="minorHAnsi"/>
          <w:bCs w:val="0"/>
          <w:sz w:val="20"/>
          <w:szCs w:val="20"/>
        </w:rPr>
        <w:t>maletas rígidas profesionales para resguardo de cámaras de video de la Dirección de Comunicación y Medios</w:t>
      </w:r>
      <w:r w:rsidR="00DA0E58">
        <w:rPr>
          <w:rFonts w:asciiTheme="minorHAnsi" w:hAnsiTheme="minorHAnsi"/>
          <w:bCs w:val="0"/>
          <w:sz w:val="20"/>
          <w:szCs w:val="20"/>
        </w:rPr>
        <w:t xml:space="preserve">, </w:t>
      </w:r>
      <w:r w:rsidR="00380A97">
        <w:rPr>
          <w:rFonts w:asciiTheme="minorHAnsi" w:hAnsiTheme="minorHAnsi"/>
          <w:bCs w:val="0"/>
          <w:sz w:val="20"/>
          <w:szCs w:val="20"/>
        </w:rPr>
        <w:t xml:space="preserve">adquisición </w:t>
      </w:r>
      <w:r w:rsidR="00DA0E58">
        <w:rPr>
          <w:rFonts w:asciiTheme="minorHAnsi" w:hAnsiTheme="minorHAnsi"/>
          <w:bCs w:val="0"/>
          <w:sz w:val="20"/>
          <w:szCs w:val="20"/>
        </w:rPr>
        <w:t>que</w:t>
      </w:r>
      <w:r w:rsidR="000E2E67">
        <w:rPr>
          <w:rFonts w:asciiTheme="minorHAnsi" w:hAnsiTheme="minorHAnsi"/>
          <w:bCs w:val="0"/>
          <w:sz w:val="20"/>
          <w:szCs w:val="20"/>
        </w:rPr>
        <w:t xml:space="preserve"> asciende a la cantidad de </w:t>
      </w:r>
      <w:r w:rsidR="000B52D8">
        <w:rPr>
          <w:rFonts w:asciiTheme="minorHAnsi" w:hAnsiTheme="minorHAnsi"/>
          <w:bCs w:val="0"/>
          <w:sz w:val="20"/>
          <w:szCs w:val="20"/>
        </w:rPr>
        <w:t xml:space="preserve">                    </w:t>
      </w:r>
      <w:r w:rsidR="000E2E67">
        <w:rPr>
          <w:rFonts w:asciiTheme="minorHAnsi" w:hAnsiTheme="minorHAnsi"/>
          <w:bCs w:val="0"/>
          <w:sz w:val="20"/>
          <w:szCs w:val="20"/>
        </w:rPr>
        <w:t xml:space="preserve">$ </w:t>
      </w:r>
      <w:r w:rsidR="000B52D8">
        <w:rPr>
          <w:rFonts w:asciiTheme="minorHAnsi" w:hAnsiTheme="minorHAnsi"/>
          <w:bCs w:val="0"/>
          <w:sz w:val="20"/>
          <w:szCs w:val="20"/>
        </w:rPr>
        <w:t>19,137</w:t>
      </w:r>
      <w:r w:rsidR="000E2E67">
        <w:rPr>
          <w:rFonts w:asciiTheme="minorHAnsi" w:hAnsiTheme="minorHAnsi"/>
          <w:bCs w:val="0"/>
          <w:sz w:val="20"/>
          <w:szCs w:val="20"/>
        </w:rPr>
        <w:t>.00</w:t>
      </w:r>
    </w:p>
    <w:p w:rsidR="00764803" w:rsidRPr="000908E2" w:rsidRDefault="00764803" w:rsidP="00764803">
      <w:pPr>
        <w:pStyle w:val="Textoindependiente"/>
        <w:rPr>
          <w:rFonts w:asciiTheme="minorHAnsi" w:hAnsiTheme="minorHAnsi"/>
          <w:bCs w:val="0"/>
          <w:sz w:val="20"/>
          <w:szCs w:val="20"/>
          <w:u w:val="single"/>
        </w:rPr>
      </w:pPr>
    </w:p>
    <w:p w:rsidR="00764803" w:rsidRPr="000908E2" w:rsidRDefault="00764803" w:rsidP="00764803">
      <w:pPr>
        <w:pStyle w:val="Prrafodelista"/>
        <w:numPr>
          <w:ilvl w:val="4"/>
          <w:numId w:val="22"/>
        </w:numPr>
        <w:tabs>
          <w:tab w:val="left" w:pos="426"/>
          <w:tab w:val="left" w:pos="851"/>
        </w:tabs>
        <w:ind w:left="0" w:firstLine="0"/>
        <w:jc w:val="both"/>
        <w:rPr>
          <w:rFonts w:asciiTheme="minorHAnsi" w:hAnsiTheme="minorHAnsi"/>
          <w:sz w:val="20"/>
          <w:szCs w:val="20"/>
        </w:rPr>
      </w:pPr>
      <w:r w:rsidRPr="000908E2">
        <w:rPr>
          <w:rFonts w:asciiTheme="minorHAnsi" w:hAnsiTheme="minorHAnsi"/>
          <w:sz w:val="20"/>
          <w:szCs w:val="20"/>
        </w:rPr>
        <w:t xml:space="preserve">La cuenta de maquinaria, otros equipos y herramientas, agrupa herramientas menores que utiliza el personal operativo del FIGAROSY, y al </w:t>
      </w:r>
      <w:r>
        <w:rPr>
          <w:rFonts w:asciiTheme="minorHAnsi" w:hAnsiTheme="minorHAnsi"/>
          <w:sz w:val="20"/>
          <w:szCs w:val="20"/>
        </w:rPr>
        <w:t>31</w:t>
      </w:r>
      <w:r w:rsidRPr="000908E2">
        <w:rPr>
          <w:rFonts w:asciiTheme="minorHAnsi" w:hAnsiTheme="minorHAnsi"/>
          <w:sz w:val="20"/>
          <w:szCs w:val="20"/>
        </w:rPr>
        <w:t xml:space="preserve"> de </w:t>
      </w:r>
      <w:r w:rsidR="008F5278">
        <w:rPr>
          <w:rFonts w:asciiTheme="minorHAnsi" w:hAnsiTheme="minorHAnsi"/>
          <w:sz w:val="20"/>
          <w:szCs w:val="20"/>
        </w:rPr>
        <w:t>Marzo</w:t>
      </w:r>
      <w:r w:rsidRPr="000908E2">
        <w:rPr>
          <w:rFonts w:asciiTheme="minorHAnsi" w:hAnsiTheme="minorHAnsi"/>
          <w:sz w:val="20"/>
          <w:szCs w:val="20"/>
        </w:rPr>
        <w:t xml:space="preserve"> de 201</w:t>
      </w:r>
      <w:r w:rsidR="008F5278">
        <w:rPr>
          <w:rFonts w:asciiTheme="minorHAnsi" w:hAnsiTheme="minorHAnsi"/>
          <w:sz w:val="20"/>
          <w:szCs w:val="20"/>
        </w:rPr>
        <w:t>7</w:t>
      </w:r>
      <w:r w:rsidRPr="000908E2">
        <w:rPr>
          <w:rFonts w:asciiTheme="minorHAnsi" w:hAnsiTheme="minorHAnsi"/>
          <w:sz w:val="20"/>
          <w:szCs w:val="20"/>
        </w:rPr>
        <w:t xml:space="preserve">, acumula un total de $ 1,680.00.  </w:t>
      </w: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Default="00764803" w:rsidP="00764803">
      <w:pPr>
        <w:pStyle w:val="Prrafodelista"/>
        <w:numPr>
          <w:ilvl w:val="3"/>
          <w:numId w:val="22"/>
        </w:numPr>
        <w:tabs>
          <w:tab w:val="left" w:pos="0"/>
          <w:tab w:val="left" w:pos="284"/>
          <w:tab w:val="left" w:pos="709"/>
        </w:tabs>
        <w:ind w:left="0" w:firstLine="0"/>
        <w:jc w:val="both"/>
        <w:rPr>
          <w:rFonts w:asciiTheme="minorHAnsi" w:hAnsiTheme="minorHAnsi"/>
          <w:sz w:val="20"/>
          <w:szCs w:val="20"/>
        </w:rPr>
      </w:pPr>
      <w:r w:rsidRPr="000908E2">
        <w:rPr>
          <w:rFonts w:asciiTheme="minorHAnsi" w:hAnsiTheme="minorHAnsi"/>
          <w:sz w:val="20"/>
          <w:szCs w:val="20"/>
        </w:rPr>
        <w:t>En la cuenta de activos intangibles, se encuentra la subcuenta de software que registra la adquisición de un sistema de control de asistencia para el personal adscrito al FIGAROSY, adquirido en el ejercicio 2010, por un importe de $ 9,907.00; la adquisición de una herramienta de Solución Integral Administrativa, que incluye los módulos de presupuestos, indicadores, bienes de consumo, control de activos fijos, reportes financieros y cuentas por pagar, adquirido en el ejercicio 2011 por el importe de $ 162,400.00, y la adquisición del programa para la emisión de comprobantes fiscales digitales del Fideicomiso Garante de la Orquesta Sinfónica de Yucatán, adquirido en e</w:t>
      </w:r>
      <w:r>
        <w:rPr>
          <w:rFonts w:asciiTheme="minorHAnsi" w:hAnsiTheme="minorHAnsi"/>
          <w:sz w:val="20"/>
          <w:szCs w:val="20"/>
        </w:rPr>
        <w:t>l ejercicio 2012 por $ 5,789.00; la adquisición de un sistema de control presupuestal y contable</w:t>
      </w:r>
      <w:r w:rsidRPr="000908E2">
        <w:rPr>
          <w:rFonts w:asciiTheme="minorHAnsi" w:hAnsiTheme="minorHAnsi"/>
          <w:sz w:val="20"/>
          <w:szCs w:val="20"/>
        </w:rPr>
        <w:t xml:space="preserve"> acorde a los lineamientos de la Ley General de Contabilidad Gubernamental y el Consejo Nacional de Armonización Contable</w:t>
      </w:r>
      <w:r>
        <w:rPr>
          <w:rFonts w:asciiTheme="minorHAnsi" w:hAnsiTheme="minorHAnsi"/>
          <w:sz w:val="20"/>
          <w:szCs w:val="20"/>
        </w:rPr>
        <w:t xml:space="preserve">, adquirido en el ejercicio 2014 por $ 25,000.00; </w:t>
      </w:r>
      <w:r w:rsidRPr="000908E2">
        <w:rPr>
          <w:rFonts w:asciiTheme="minorHAnsi" w:hAnsiTheme="minorHAnsi"/>
          <w:sz w:val="20"/>
          <w:szCs w:val="20"/>
        </w:rPr>
        <w:t xml:space="preserve"> </w:t>
      </w:r>
      <w:r>
        <w:rPr>
          <w:rFonts w:asciiTheme="minorHAnsi" w:hAnsiTheme="minorHAnsi"/>
          <w:sz w:val="20"/>
          <w:szCs w:val="20"/>
        </w:rPr>
        <w:t xml:space="preserve">la adquisición del programa de </w:t>
      </w:r>
      <w:proofErr w:type="spellStart"/>
      <w:r>
        <w:rPr>
          <w:rFonts w:asciiTheme="minorHAnsi" w:hAnsiTheme="minorHAnsi"/>
          <w:sz w:val="20"/>
          <w:szCs w:val="20"/>
        </w:rPr>
        <w:t>mapping</w:t>
      </w:r>
      <w:proofErr w:type="spellEnd"/>
      <w:r>
        <w:rPr>
          <w:rFonts w:asciiTheme="minorHAnsi" w:hAnsiTheme="minorHAnsi"/>
          <w:sz w:val="20"/>
          <w:szCs w:val="20"/>
        </w:rPr>
        <w:t xml:space="preserve"> interactivo para</w:t>
      </w:r>
      <w:r w:rsidR="00DA0E58">
        <w:rPr>
          <w:rFonts w:asciiTheme="minorHAnsi" w:hAnsiTheme="minorHAnsi"/>
          <w:sz w:val="20"/>
          <w:szCs w:val="20"/>
        </w:rPr>
        <w:t xml:space="preserve"> difusión de eventos</w:t>
      </w:r>
      <w:r>
        <w:rPr>
          <w:rFonts w:asciiTheme="minorHAnsi" w:hAnsiTheme="minorHAnsi"/>
          <w:sz w:val="20"/>
          <w:szCs w:val="20"/>
        </w:rPr>
        <w:t xml:space="preserve"> de la Orquesta Sinfónica de Yucatán, adquirido en el mes de agosto de 2016 por $ 11,600.00. </w:t>
      </w:r>
      <w:r w:rsidRPr="000908E2">
        <w:rPr>
          <w:rFonts w:asciiTheme="minorHAnsi" w:hAnsiTheme="minorHAnsi"/>
          <w:sz w:val="20"/>
          <w:szCs w:val="20"/>
        </w:rPr>
        <w:t xml:space="preserve">Estas adquisiciones hacen un total de $ </w:t>
      </w:r>
      <w:r>
        <w:rPr>
          <w:rFonts w:asciiTheme="minorHAnsi" w:hAnsiTheme="minorHAnsi"/>
          <w:sz w:val="20"/>
          <w:szCs w:val="20"/>
        </w:rPr>
        <w:t>214</w:t>
      </w:r>
      <w:r w:rsidRPr="000908E2">
        <w:rPr>
          <w:rFonts w:asciiTheme="minorHAnsi" w:hAnsiTheme="minorHAnsi"/>
          <w:sz w:val="20"/>
          <w:szCs w:val="20"/>
        </w:rPr>
        <w:t>,</w:t>
      </w:r>
      <w:r>
        <w:rPr>
          <w:rFonts w:asciiTheme="minorHAnsi" w:hAnsiTheme="minorHAnsi"/>
          <w:sz w:val="20"/>
          <w:szCs w:val="20"/>
        </w:rPr>
        <w:t>69</w:t>
      </w:r>
      <w:r w:rsidRPr="000908E2">
        <w:rPr>
          <w:rFonts w:asciiTheme="minorHAnsi" w:hAnsiTheme="minorHAnsi"/>
          <w:sz w:val="20"/>
          <w:szCs w:val="20"/>
        </w:rPr>
        <w:t>6.00.</w:t>
      </w:r>
    </w:p>
    <w:p w:rsidR="00764803" w:rsidRDefault="00764803" w:rsidP="00764803">
      <w:pPr>
        <w:pStyle w:val="Prrafodelista"/>
        <w:tabs>
          <w:tab w:val="left" w:pos="0"/>
          <w:tab w:val="left" w:pos="284"/>
          <w:tab w:val="left" w:pos="709"/>
        </w:tabs>
        <w:ind w:left="0"/>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p>
    <w:p w:rsidR="00764803" w:rsidRDefault="00764803" w:rsidP="00764803">
      <w:pPr>
        <w:pStyle w:val="Prrafodelista"/>
        <w:numPr>
          <w:ilvl w:val="3"/>
          <w:numId w:val="22"/>
        </w:numPr>
        <w:tabs>
          <w:tab w:val="left" w:pos="284"/>
        </w:tabs>
        <w:ind w:left="709" w:hanging="709"/>
        <w:rPr>
          <w:rFonts w:asciiTheme="minorHAnsi" w:hAnsiTheme="minorHAnsi"/>
          <w:sz w:val="20"/>
          <w:szCs w:val="20"/>
        </w:rPr>
      </w:pPr>
      <w:r w:rsidRPr="000908E2">
        <w:rPr>
          <w:rFonts w:asciiTheme="minorHAnsi" w:hAnsiTheme="minorHAnsi"/>
          <w:sz w:val="20"/>
          <w:szCs w:val="20"/>
        </w:rPr>
        <w:t>El rubro de</w:t>
      </w:r>
      <w:r>
        <w:rPr>
          <w:rFonts w:asciiTheme="minorHAnsi" w:hAnsiTheme="minorHAnsi"/>
          <w:sz w:val="20"/>
          <w:szCs w:val="20"/>
        </w:rPr>
        <w:t xml:space="preserve"> depreciación, deterioro y amortización acumulada de b</w:t>
      </w:r>
      <w:r w:rsidRPr="000908E2">
        <w:rPr>
          <w:rFonts w:asciiTheme="minorHAnsi" w:hAnsiTheme="minorHAnsi"/>
          <w:sz w:val="20"/>
          <w:szCs w:val="20"/>
        </w:rPr>
        <w:t xml:space="preserve">ienes </w:t>
      </w:r>
      <w:r>
        <w:rPr>
          <w:rFonts w:asciiTheme="minorHAnsi" w:hAnsiTheme="minorHAnsi"/>
          <w:sz w:val="20"/>
          <w:szCs w:val="20"/>
        </w:rPr>
        <w:t>al 31</w:t>
      </w:r>
      <w:r w:rsidRPr="000908E2">
        <w:rPr>
          <w:rFonts w:asciiTheme="minorHAnsi" w:hAnsiTheme="minorHAnsi"/>
          <w:sz w:val="20"/>
          <w:szCs w:val="20"/>
        </w:rPr>
        <w:t xml:space="preserve"> de </w:t>
      </w:r>
      <w:r w:rsidR="008F5278">
        <w:rPr>
          <w:rFonts w:asciiTheme="minorHAnsi" w:hAnsiTheme="minorHAnsi"/>
          <w:sz w:val="20"/>
          <w:szCs w:val="20"/>
        </w:rPr>
        <w:t>Diciembre de 2017</w:t>
      </w:r>
      <w:r w:rsidRPr="000908E2">
        <w:rPr>
          <w:rFonts w:asciiTheme="minorHAnsi" w:hAnsiTheme="minorHAnsi"/>
          <w:sz w:val="20"/>
          <w:szCs w:val="20"/>
        </w:rPr>
        <w:t>, se encuentra integrado de la siguiente manera:</w:t>
      </w:r>
    </w:p>
    <w:p w:rsidR="00764803" w:rsidRDefault="00764803" w:rsidP="00764803">
      <w:pPr>
        <w:tabs>
          <w:tab w:val="left" w:pos="284"/>
        </w:tabs>
        <w:rPr>
          <w:rFonts w:asciiTheme="minorHAnsi" w:hAnsiTheme="minorHAnsi"/>
          <w:sz w:val="20"/>
          <w:szCs w:val="20"/>
        </w:rPr>
      </w:pPr>
    </w:p>
    <w:bookmarkStart w:id="15" w:name="_MON_1517151018"/>
    <w:bookmarkEnd w:id="15"/>
    <w:p w:rsidR="00764803" w:rsidRPr="000908E2" w:rsidRDefault="008F5278" w:rsidP="00764803">
      <w:pPr>
        <w:tabs>
          <w:tab w:val="left" w:pos="284"/>
        </w:tabs>
        <w:jc w:val="center"/>
        <w:rPr>
          <w:rFonts w:asciiTheme="minorHAnsi" w:hAnsiTheme="minorHAnsi"/>
          <w:sz w:val="20"/>
          <w:szCs w:val="20"/>
        </w:rPr>
      </w:pPr>
      <w:r w:rsidRPr="000908E2">
        <w:rPr>
          <w:rFonts w:asciiTheme="minorHAnsi" w:hAnsiTheme="minorHAnsi" w:cs="Arial"/>
          <w:bCs/>
          <w:sz w:val="20"/>
          <w:szCs w:val="20"/>
        </w:rPr>
        <w:object w:dxaOrig="7130" w:dyaOrig="1158">
          <v:shape id="_x0000_i1039" type="#_x0000_t75" style="width:357.6pt;height:57.6pt" o:ole="">
            <v:imagedata r:id="rId41" o:title=""/>
          </v:shape>
          <o:OLEObject Type="Embed" ProgID="Excel.Sheet.8" ShapeID="_x0000_i1039" DrawAspect="Content" ObjectID="_1555199770" r:id="rId42"/>
        </w:object>
      </w: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b/>
          <w:sz w:val="20"/>
          <w:szCs w:val="20"/>
        </w:rPr>
        <w:t>1.1.5.3.1</w:t>
      </w:r>
      <w:r w:rsidRPr="000908E2">
        <w:rPr>
          <w:rFonts w:asciiTheme="minorHAnsi" w:hAnsiTheme="minorHAnsi"/>
          <w:sz w:val="20"/>
          <w:szCs w:val="20"/>
        </w:rPr>
        <w:t xml:space="preserve"> La depreciación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Estado</w:t>
      </w:r>
      <w:r w:rsidR="00380A97">
        <w:rPr>
          <w:rFonts w:asciiTheme="minorHAnsi" w:hAnsiTheme="minorHAnsi"/>
          <w:sz w:val="20"/>
          <w:szCs w:val="20"/>
        </w:rPr>
        <w:t xml:space="preserve"> de Yucatán</w:t>
      </w:r>
      <w:r w:rsidRPr="000908E2">
        <w:rPr>
          <w:rFonts w:asciiTheme="minorHAnsi" w:hAnsiTheme="minorHAnsi"/>
          <w:sz w:val="20"/>
          <w:szCs w:val="20"/>
        </w:rPr>
        <w:t xml:space="preserve"> el 10 de Enero de 2012. </w:t>
      </w: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 xml:space="preserve"> </w:t>
      </w:r>
    </w:p>
    <w:p w:rsidR="00764803" w:rsidRPr="000908E2" w:rsidRDefault="00DA0E58" w:rsidP="00764803">
      <w:pPr>
        <w:pStyle w:val="Prrafodelista"/>
        <w:tabs>
          <w:tab w:val="left" w:pos="426"/>
        </w:tabs>
        <w:ind w:left="0"/>
        <w:jc w:val="both"/>
        <w:rPr>
          <w:rFonts w:asciiTheme="minorHAnsi" w:hAnsiTheme="minorHAnsi"/>
          <w:sz w:val="20"/>
          <w:szCs w:val="20"/>
        </w:rPr>
      </w:pPr>
      <w:r>
        <w:rPr>
          <w:rFonts w:asciiTheme="minorHAnsi" w:hAnsiTheme="minorHAnsi"/>
          <w:sz w:val="20"/>
          <w:szCs w:val="20"/>
        </w:rPr>
        <w:t>A continuación, se en</w:t>
      </w:r>
      <w:r w:rsidR="00764803" w:rsidRPr="000908E2">
        <w:rPr>
          <w:rFonts w:asciiTheme="minorHAnsi" w:hAnsiTheme="minorHAnsi"/>
          <w:sz w:val="20"/>
          <w:szCs w:val="20"/>
        </w:rPr>
        <w:t>lista los años de vida útil y los porcentajes de depreciación anual aplicados en los siguientes rubros de bienes muebles:</w:t>
      </w:r>
    </w:p>
    <w:p w:rsidR="00945ECD" w:rsidRDefault="00945ECD" w:rsidP="00764803">
      <w:pPr>
        <w:pStyle w:val="Prrafodelista"/>
        <w:tabs>
          <w:tab w:val="left" w:pos="426"/>
        </w:tabs>
        <w:ind w:left="0"/>
        <w:jc w:val="both"/>
        <w:rPr>
          <w:rFonts w:asciiTheme="minorHAnsi" w:hAnsiTheme="minorHAnsi"/>
          <w:sz w:val="20"/>
          <w:szCs w:val="20"/>
        </w:rPr>
      </w:pPr>
    </w:p>
    <w:p w:rsidR="00764803" w:rsidRPr="000908E2" w:rsidRDefault="004F3223" w:rsidP="00764803">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485" type="#_x0000_t75" style="position:absolute;left:0;text-align:left;margin-left:68.4pt;margin-top:7.2pt;width:311.25pt;height:103.95pt;z-index:251661312">
            <v:imagedata r:id="rId43" o:title=""/>
          </v:shape>
          <o:OLEObject Type="Embed" ProgID="Excel.Sheet.8" ShapeID="_x0000_s1485" DrawAspect="Content" ObjectID="_1555199792" r:id="rId44"/>
        </w:pic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Default="00764803" w:rsidP="00764803">
      <w:pPr>
        <w:pStyle w:val="Prrafodelista"/>
        <w:tabs>
          <w:tab w:val="left" w:pos="426"/>
        </w:tabs>
        <w:ind w:left="0"/>
        <w:jc w:val="both"/>
        <w:rPr>
          <w:rFonts w:asciiTheme="minorHAnsi" w:hAnsiTheme="minorHAnsi"/>
          <w:sz w:val="20"/>
          <w:szCs w:val="20"/>
        </w:rPr>
      </w:pPr>
    </w:p>
    <w:p w:rsidR="00764803" w:rsidRDefault="00764803" w:rsidP="00764803">
      <w:pPr>
        <w:pStyle w:val="Prrafodelista"/>
        <w:tabs>
          <w:tab w:val="left" w:pos="426"/>
        </w:tabs>
        <w:ind w:left="0"/>
        <w:jc w:val="both"/>
        <w:rPr>
          <w:rFonts w:asciiTheme="minorHAnsi" w:hAnsiTheme="minorHAnsi"/>
          <w:sz w:val="20"/>
          <w:szCs w:val="20"/>
        </w:rPr>
      </w:pPr>
    </w:p>
    <w:p w:rsidR="00764803" w:rsidRDefault="00764803" w:rsidP="00764803">
      <w:pPr>
        <w:pStyle w:val="Prrafodelista"/>
        <w:tabs>
          <w:tab w:val="left" w:pos="426"/>
        </w:tabs>
        <w:ind w:left="0"/>
        <w:jc w:val="both"/>
        <w:rPr>
          <w:rFonts w:asciiTheme="minorHAnsi" w:hAnsiTheme="minorHAnsi"/>
          <w:sz w:val="20"/>
          <w:szCs w:val="20"/>
        </w:rPr>
      </w:pPr>
    </w:p>
    <w:p w:rsidR="004C64BF" w:rsidRDefault="004C64BF"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En el mes de Diciembre de 2013, se registró la depreciación de los bienes muebles adquiridos en los ejercicios 2009, 2010, 2011, 2012 y 2013, para cumplir el Acuerdo por el que se emiten las Reglas Específicas del Registro y Valoración del Patrimonio emitidas por el Consejo Nacional de Armonización Contable y publicadas en el Diario Oficial del Estado</w:t>
      </w:r>
      <w:r w:rsidR="00DD1095">
        <w:rPr>
          <w:rFonts w:asciiTheme="minorHAnsi" w:hAnsiTheme="minorHAnsi"/>
          <w:sz w:val="20"/>
          <w:szCs w:val="20"/>
        </w:rPr>
        <w:t xml:space="preserve"> de Yucatán</w:t>
      </w:r>
      <w:r w:rsidRPr="000908E2">
        <w:rPr>
          <w:rFonts w:asciiTheme="minorHAnsi" w:hAnsiTheme="minorHAnsi"/>
          <w:sz w:val="20"/>
          <w:szCs w:val="20"/>
        </w:rPr>
        <w:t xml:space="preserve"> el 10 de Enero de 2012. </w:t>
      </w:r>
    </w:p>
    <w:p w:rsidR="00764803" w:rsidRPr="000908E2" w:rsidRDefault="00764803" w:rsidP="00764803">
      <w:pPr>
        <w:pStyle w:val="Textoindependiente"/>
        <w:tabs>
          <w:tab w:val="left" w:pos="426"/>
        </w:tabs>
        <w:rPr>
          <w:rFonts w:asciiTheme="minorHAnsi" w:hAnsiTheme="minorHAnsi"/>
          <w:bCs w:val="0"/>
          <w:sz w:val="20"/>
          <w:szCs w:val="20"/>
        </w:rPr>
      </w:pPr>
    </w:p>
    <w:p w:rsidR="00764803" w:rsidRPr="000908E2" w:rsidRDefault="00764803" w:rsidP="00764803">
      <w:pPr>
        <w:pStyle w:val="Textoindependiente"/>
        <w:rPr>
          <w:rFonts w:asciiTheme="minorHAnsi" w:hAnsiTheme="minorHAnsi"/>
          <w:bCs w:val="0"/>
          <w:sz w:val="20"/>
          <w:szCs w:val="20"/>
        </w:rPr>
      </w:pPr>
      <w:r w:rsidRPr="000908E2">
        <w:rPr>
          <w:rFonts w:asciiTheme="minorHAnsi" w:hAnsiTheme="minorHAnsi"/>
          <w:bCs w:val="0"/>
          <w:sz w:val="20"/>
          <w:szCs w:val="20"/>
        </w:rPr>
        <w:t xml:space="preserve">La depreciación acumulada de mobiliario y equipo </w:t>
      </w:r>
      <w:r w:rsidR="00DD1095">
        <w:rPr>
          <w:rFonts w:asciiTheme="minorHAnsi" w:hAnsiTheme="minorHAnsi"/>
          <w:bCs w:val="0"/>
          <w:sz w:val="20"/>
          <w:szCs w:val="20"/>
        </w:rPr>
        <w:t>de bienes muebles</w:t>
      </w:r>
      <w:r w:rsidRPr="000908E2">
        <w:rPr>
          <w:rFonts w:asciiTheme="minorHAnsi" w:hAnsiTheme="minorHAnsi"/>
          <w:bCs w:val="0"/>
          <w:sz w:val="20"/>
          <w:szCs w:val="20"/>
        </w:rPr>
        <w:t xml:space="preserve"> al </w:t>
      </w:r>
      <w:r>
        <w:rPr>
          <w:rFonts w:asciiTheme="minorHAnsi" w:hAnsiTheme="minorHAnsi"/>
          <w:bCs w:val="0"/>
          <w:sz w:val="20"/>
          <w:szCs w:val="20"/>
        </w:rPr>
        <w:t>31</w:t>
      </w:r>
      <w:r w:rsidRPr="000908E2">
        <w:rPr>
          <w:rFonts w:asciiTheme="minorHAnsi" w:hAnsiTheme="minorHAnsi"/>
          <w:bCs w:val="0"/>
          <w:sz w:val="20"/>
          <w:szCs w:val="20"/>
        </w:rPr>
        <w:t xml:space="preserve"> de </w:t>
      </w:r>
      <w:r w:rsidR="008F5278">
        <w:rPr>
          <w:rFonts w:asciiTheme="minorHAnsi" w:hAnsiTheme="minorHAnsi"/>
          <w:bCs w:val="0"/>
          <w:sz w:val="20"/>
          <w:szCs w:val="20"/>
        </w:rPr>
        <w:t>Marzo de 2017</w:t>
      </w:r>
      <w:r w:rsidRPr="000908E2">
        <w:rPr>
          <w:rFonts w:asciiTheme="minorHAnsi" w:hAnsiTheme="minorHAnsi"/>
          <w:bCs w:val="0"/>
          <w:sz w:val="20"/>
          <w:szCs w:val="20"/>
        </w:rPr>
        <w:t>, a</w:t>
      </w:r>
      <w:r>
        <w:rPr>
          <w:rFonts w:asciiTheme="minorHAnsi" w:hAnsiTheme="minorHAnsi"/>
          <w:bCs w:val="0"/>
          <w:sz w:val="20"/>
          <w:szCs w:val="20"/>
        </w:rPr>
        <w:t>sciende a la cantidad de  $ 3</w:t>
      </w:r>
      <w:r w:rsidRPr="000908E2">
        <w:rPr>
          <w:rFonts w:asciiTheme="minorHAnsi" w:hAnsiTheme="minorHAnsi"/>
          <w:bCs w:val="0"/>
          <w:sz w:val="20"/>
          <w:szCs w:val="20"/>
        </w:rPr>
        <w:t>´</w:t>
      </w:r>
      <w:r w:rsidR="007B6754">
        <w:rPr>
          <w:rFonts w:asciiTheme="minorHAnsi" w:hAnsiTheme="minorHAnsi"/>
          <w:bCs w:val="0"/>
          <w:sz w:val="20"/>
          <w:szCs w:val="20"/>
        </w:rPr>
        <w:t>768</w:t>
      </w:r>
      <w:r>
        <w:rPr>
          <w:rFonts w:asciiTheme="minorHAnsi" w:hAnsiTheme="minorHAnsi"/>
          <w:bCs w:val="0"/>
          <w:sz w:val="20"/>
          <w:szCs w:val="20"/>
        </w:rPr>
        <w:t>,</w:t>
      </w:r>
      <w:r w:rsidR="007B6754">
        <w:rPr>
          <w:rFonts w:asciiTheme="minorHAnsi" w:hAnsiTheme="minorHAnsi"/>
          <w:bCs w:val="0"/>
          <w:sz w:val="20"/>
          <w:szCs w:val="20"/>
        </w:rPr>
        <w:t>515</w:t>
      </w:r>
      <w:r w:rsidRPr="000908E2">
        <w:rPr>
          <w:rFonts w:asciiTheme="minorHAnsi" w:hAnsiTheme="minorHAnsi"/>
          <w:bCs w:val="0"/>
          <w:sz w:val="20"/>
          <w:szCs w:val="20"/>
        </w:rPr>
        <w:t>.00, que se integra de la siguiente forma:</w:t>
      </w:r>
    </w:p>
    <w:p w:rsidR="00764803" w:rsidRPr="000908E2" w:rsidRDefault="00764803" w:rsidP="00764803">
      <w:pPr>
        <w:pStyle w:val="Textoindependiente"/>
        <w:rPr>
          <w:rFonts w:asciiTheme="minorHAnsi" w:hAnsiTheme="minorHAnsi"/>
          <w:bCs w:val="0"/>
          <w:sz w:val="20"/>
          <w:szCs w:val="20"/>
        </w:rPr>
      </w:pPr>
    </w:p>
    <w:p w:rsidR="00764803" w:rsidRPr="000908E2" w:rsidRDefault="00764803" w:rsidP="00764803">
      <w:pPr>
        <w:pStyle w:val="Textoindependiente"/>
        <w:rPr>
          <w:rFonts w:asciiTheme="minorHAnsi" w:hAnsiTheme="minorHAnsi"/>
          <w:bCs w:val="0"/>
          <w:sz w:val="20"/>
          <w:szCs w:val="20"/>
        </w:rPr>
      </w:pPr>
    </w:p>
    <w:bookmarkStart w:id="16" w:name="_MON_1464547928"/>
    <w:bookmarkEnd w:id="16"/>
    <w:p w:rsidR="00764803" w:rsidRPr="000908E2" w:rsidRDefault="008F5278" w:rsidP="00764803">
      <w:pPr>
        <w:pStyle w:val="Prrafodelista"/>
        <w:tabs>
          <w:tab w:val="left" w:pos="426"/>
        </w:tabs>
        <w:ind w:left="0"/>
        <w:jc w:val="center"/>
        <w:rPr>
          <w:rFonts w:asciiTheme="minorHAnsi" w:hAnsiTheme="minorHAnsi"/>
          <w:sz w:val="20"/>
          <w:szCs w:val="20"/>
        </w:rPr>
      </w:pPr>
      <w:r w:rsidRPr="000908E2">
        <w:rPr>
          <w:rFonts w:asciiTheme="minorHAnsi" w:hAnsiTheme="minorHAnsi"/>
          <w:sz w:val="20"/>
          <w:szCs w:val="20"/>
        </w:rPr>
        <w:object w:dxaOrig="7698" w:dyaOrig="2576">
          <v:shape id="_x0000_i1040" type="#_x0000_t75" style="width:385.2pt;height:127.8pt" o:ole="">
            <v:imagedata r:id="rId45" o:title=""/>
          </v:shape>
          <o:OLEObject Type="Embed" ProgID="Excel.Sheet.8" ShapeID="_x0000_i1040" DrawAspect="Content" ObjectID="_1555199771" r:id="rId46"/>
        </w:object>
      </w:r>
      <w:bookmarkStart w:id="17" w:name="_MON_1458753819"/>
      <w:bookmarkEnd w:id="17"/>
    </w:p>
    <w:p w:rsidR="00764803" w:rsidRPr="000908E2"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b/>
          <w:sz w:val="20"/>
          <w:szCs w:val="20"/>
        </w:rPr>
        <w:t>1.1.5.3.2</w:t>
      </w:r>
      <w:r w:rsidRPr="000908E2">
        <w:rPr>
          <w:rFonts w:asciiTheme="minorHAnsi" w:hAnsiTheme="minorHAnsi"/>
          <w:sz w:val="20"/>
          <w:szCs w:val="20"/>
        </w:rPr>
        <w:t xml:space="preserve"> La amortización es la distribución sistemática del costo de adquisición de un activo a lo largo de su vida útil, conforme el Acuerdo por el que se emiten las Reglas Específicas del Registro y Valoración del Patrimonio emitidas por el Consejo Nacional de Armonización Contable y publicadas en el Diario Oficial del Gobierno del Estado de Yucatán, el 10 de Enero de 2012.</w: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Default="00764803" w:rsidP="00764803">
      <w:pPr>
        <w:pStyle w:val="Prrafodelista"/>
        <w:tabs>
          <w:tab w:val="left" w:pos="426"/>
        </w:tabs>
        <w:ind w:left="0"/>
        <w:jc w:val="both"/>
        <w:rPr>
          <w:rFonts w:asciiTheme="minorHAnsi" w:hAnsiTheme="minorHAnsi"/>
          <w:sz w:val="20"/>
          <w:szCs w:val="20"/>
        </w:rPr>
      </w:pPr>
      <w:r w:rsidRPr="000908E2">
        <w:rPr>
          <w:rFonts w:asciiTheme="minorHAnsi" w:hAnsiTheme="minorHAnsi"/>
          <w:sz w:val="20"/>
          <w:szCs w:val="20"/>
        </w:rPr>
        <w:t>A continuación, se en lista los años de vida útil y el porcentaje de amortización anual aplicado en el siguiente rubro de activos intangibles:</w:t>
      </w:r>
    </w:p>
    <w:p w:rsidR="00764803" w:rsidRDefault="00764803" w:rsidP="00764803">
      <w:pPr>
        <w:pStyle w:val="Prrafodelista"/>
        <w:tabs>
          <w:tab w:val="left" w:pos="426"/>
        </w:tabs>
        <w:ind w:left="0"/>
        <w:jc w:val="both"/>
        <w:rPr>
          <w:rFonts w:asciiTheme="minorHAnsi" w:hAnsiTheme="minorHAnsi"/>
          <w:sz w:val="20"/>
          <w:szCs w:val="20"/>
        </w:rPr>
      </w:pPr>
    </w:p>
    <w:p w:rsidR="00764803" w:rsidRDefault="00764803" w:rsidP="00764803">
      <w:pPr>
        <w:pStyle w:val="Prrafodelista"/>
        <w:tabs>
          <w:tab w:val="left" w:pos="426"/>
        </w:tabs>
        <w:ind w:left="0"/>
        <w:jc w:val="both"/>
        <w:rPr>
          <w:rFonts w:asciiTheme="minorHAnsi" w:hAnsiTheme="minorHAnsi"/>
          <w:sz w:val="20"/>
          <w:szCs w:val="20"/>
        </w:rPr>
      </w:pPr>
    </w:p>
    <w:p w:rsidR="00764803" w:rsidRPr="000908E2" w:rsidRDefault="004F3223" w:rsidP="00764803">
      <w:pPr>
        <w:pStyle w:val="Prrafodelista"/>
        <w:tabs>
          <w:tab w:val="left" w:pos="426"/>
        </w:tabs>
        <w:ind w:left="0"/>
        <w:jc w:val="both"/>
        <w:rPr>
          <w:rFonts w:asciiTheme="minorHAnsi" w:hAnsiTheme="minorHAnsi"/>
          <w:sz w:val="20"/>
          <w:szCs w:val="20"/>
        </w:rPr>
      </w:pPr>
      <w:r>
        <w:rPr>
          <w:rFonts w:asciiTheme="minorHAnsi" w:hAnsiTheme="minorHAnsi"/>
          <w:noProof/>
          <w:sz w:val="20"/>
          <w:szCs w:val="20"/>
          <w:lang w:val="es-ES"/>
        </w:rPr>
        <w:pict>
          <v:shape id="_x0000_s1486" type="#_x0000_t75" style="position:absolute;left:0;text-align:left;margin-left:105.25pt;margin-top:6.45pt;width:279.05pt;height:61.95pt;z-index:251662336">
            <v:imagedata r:id="rId47" o:title=""/>
          </v:shape>
          <o:OLEObject Type="Embed" ProgID="Excel.Sheet.8" ShapeID="_x0000_s1486" DrawAspect="Content" ObjectID="_1555199793" r:id="rId48"/>
        </w:pict>
      </w:r>
      <w:r w:rsidR="00764803" w:rsidRPr="000908E2">
        <w:rPr>
          <w:rFonts w:asciiTheme="minorHAnsi" w:hAnsiTheme="minorHAnsi"/>
          <w:sz w:val="20"/>
          <w:szCs w:val="20"/>
        </w:rPr>
        <w:t xml:space="preserve">    </w:t>
      </w:r>
    </w:p>
    <w:p w:rsidR="00764803" w:rsidRPr="000908E2" w:rsidRDefault="00764803" w:rsidP="00764803">
      <w:pPr>
        <w:pStyle w:val="Prrafodelista"/>
        <w:tabs>
          <w:tab w:val="left" w:pos="0"/>
          <w:tab w:val="left" w:pos="426"/>
        </w:tabs>
        <w:ind w:left="0"/>
        <w:jc w:val="both"/>
        <w:rPr>
          <w:rFonts w:asciiTheme="minorHAnsi" w:hAnsiTheme="minorHAnsi" w:cs="Arial"/>
          <w:bCs/>
          <w:sz w:val="20"/>
          <w:szCs w:val="20"/>
        </w:rPr>
      </w:pPr>
    </w:p>
    <w:p w:rsidR="00764803" w:rsidRPr="000908E2" w:rsidRDefault="00764803" w:rsidP="00764803">
      <w:pPr>
        <w:pStyle w:val="Prrafodelista"/>
        <w:tabs>
          <w:tab w:val="left" w:pos="0"/>
          <w:tab w:val="left" w:pos="426"/>
        </w:tabs>
        <w:ind w:left="0"/>
        <w:jc w:val="both"/>
        <w:rPr>
          <w:rFonts w:asciiTheme="minorHAnsi" w:hAnsiTheme="minorHAnsi" w:cs="Arial"/>
          <w:bCs/>
          <w:sz w:val="20"/>
          <w:szCs w:val="20"/>
        </w:rPr>
      </w:pPr>
    </w:p>
    <w:p w:rsidR="00764803" w:rsidRPr="000908E2" w:rsidRDefault="00764803" w:rsidP="00764803">
      <w:pPr>
        <w:pStyle w:val="Prrafodelista"/>
        <w:tabs>
          <w:tab w:val="left" w:pos="0"/>
          <w:tab w:val="left" w:pos="426"/>
        </w:tabs>
        <w:ind w:left="0"/>
        <w:jc w:val="both"/>
        <w:rPr>
          <w:rFonts w:asciiTheme="minorHAnsi" w:hAnsiTheme="minorHAnsi" w:cs="Arial"/>
          <w:bCs/>
          <w:sz w:val="20"/>
          <w:szCs w:val="20"/>
        </w:rPr>
      </w:pPr>
    </w:p>
    <w:p w:rsidR="00764803" w:rsidRPr="000908E2" w:rsidRDefault="00764803" w:rsidP="00764803">
      <w:pPr>
        <w:pStyle w:val="Prrafodelista"/>
        <w:tabs>
          <w:tab w:val="left" w:pos="0"/>
          <w:tab w:val="left" w:pos="426"/>
        </w:tabs>
        <w:ind w:left="0"/>
        <w:jc w:val="both"/>
        <w:rPr>
          <w:rFonts w:asciiTheme="minorHAnsi" w:hAnsiTheme="minorHAnsi" w:cs="Arial"/>
          <w:bCs/>
          <w:sz w:val="20"/>
          <w:szCs w:val="20"/>
        </w:rPr>
      </w:pPr>
    </w:p>
    <w:p w:rsidR="00764803" w:rsidRPr="000908E2" w:rsidRDefault="00764803" w:rsidP="00764803">
      <w:pPr>
        <w:pStyle w:val="Prrafodelista"/>
        <w:tabs>
          <w:tab w:val="left" w:pos="0"/>
          <w:tab w:val="left" w:pos="426"/>
        </w:tabs>
        <w:ind w:left="0"/>
        <w:jc w:val="both"/>
        <w:rPr>
          <w:rFonts w:asciiTheme="minorHAnsi" w:hAnsiTheme="minorHAnsi" w:cs="Arial"/>
          <w:bCs/>
          <w:sz w:val="20"/>
          <w:szCs w:val="20"/>
        </w:rPr>
      </w:pPr>
    </w:p>
    <w:p w:rsidR="00764803" w:rsidRPr="000908E2" w:rsidRDefault="00764803" w:rsidP="00764803">
      <w:pPr>
        <w:pStyle w:val="Prrafodelista"/>
        <w:tabs>
          <w:tab w:val="left" w:pos="0"/>
          <w:tab w:val="left" w:pos="426"/>
        </w:tabs>
        <w:ind w:left="0"/>
        <w:jc w:val="both"/>
        <w:rPr>
          <w:rFonts w:asciiTheme="minorHAnsi" w:hAnsiTheme="minorHAnsi" w:cs="Arial"/>
          <w:bCs/>
          <w:sz w:val="20"/>
          <w:szCs w:val="20"/>
        </w:rPr>
      </w:pPr>
      <w:r w:rsidRPr="000908E2">
        <w:rPr>
          <w:rFonts w:asciiTheme="minorHAnsi" w:hAnsiTheme="minorHAnsi"/>
          <w:sz w:val="20"/>
          <w:szCs w:val="20"/>
        </w:rPr>
        <w:t xml:space="preserve">En el mes de Diciembre de 2013, se registró la amortización de activos intangibles que se adquirieron en los ejercicios 2010, 2011 y 2012, para cumplir el Acuerdo por el que se emiten las Reglas Específicas del Registro y Valoración del Patrimonio emitidas por el Consejo Nacional de Armonización Contable y publicadas en el Diario Oficial del Gobierno del Estado de Yucatán, el 10 de Enero de 2012. </w:t>
      </w:r>
    </w:p>
    <w:p w:rsidR="00764803" w:rsidRPr="000908E2" w:rsidRDefault="00764803" w:rsidP="00764803">
      <w:pPr>
        <w:pStyle w:val="Textoindependiente"/>
        <w:rPr>
          <w:rFonts w:asciiTheme="minorHAnsi" w:hAnsiTheme="minorHAnsi"/>
          <w:bCs w:val="0"/>
          <w:sz w:val="20"/>
          <w:szCs w:val="20"/>
        </w:rPr>
      </w:pPr>
    </w:p>
    <w:p w:rsidR="00764803" w:rsidRPr="000908E2" w:rsidRDefault="00764803" w:rsidP="00764803">
      <w:pPr>
        <w:pStyle w:val="Textoindependiente"/>
        <w:rPr>
          <w:rFonts w:asciiTheme="minorHAnsi" w:hAnsiTheme="minorHAnsi"/>
          <w:bCs w:val="0"/>
          <w:sz w:val="20"/>
          <w:szCs w:val="20"/>
        </w:rPr>
      </w:pPr>
      <w:r w:rsidRPr="000908E2">
        <w:rPr>
          <w:rFonts w:asciiTheme="minorHAnsi" w:hAnsiTheme="minorHAnsi"/>
          <w:bCs w:val="0"/>
          <w:sz w:val="20"/>
          <w:szCs w:val="20"/>
        </w:rPr>
        <w:t xml:space="preserve">La amortización acumulada de </w:t>
      </w:r>
      <w:r w:rsidR="004C64BF">
        <w:rPr>
          <w:rFonts w:asciiTheme="minorHAnsi" w:hAnsiTheme="minorHAnsi"/>
          <w:sz w:val="20"/>
          <w:szCs w:val="20"/>
        </w:rPr>
        <w:t>activos intangibles</w:t>
      </w:r>
      <w:r w:rsidRPr="000908E2">
        <w:rPr>
          <w:rFonts w:asciiTheme="minorHAnsi" w:hAnsiTheme="minorHAnsi"/>
          <w:sz w:val="20"/>
          <w:szCs w:val="20"/>
        </w:rPr>
        <w:t xml:space="preserve"> </w:t>
      </w:r>
      <w:r>
        <w:rPr>
          <w:rFonts w:asciiTheme="minorHAnsi" w:hAnsiTheme="minorHAnsi"/>
          <w:bCs w:val="0"/>
          <w:sz w:val="20"/>
          <w:szCs w:val="20"/>
        </w:rPr>
        <w:t>al 31</w:t>
      </w:r>
      <w:r w:rsidRPr="000908E2">
        <w:rPr>
          <w:rFonts w:asciiTheme="minorHAnsi" w:hAnsiTheme="minorHAnsi"/>
          <w:bCs w:val="0"/>
          <w:sz w:val="20"/>
          <w:szCs w:val="20"/>
        </w:rPr>
        <w:t xml:space="preserve"> de </w:t>
      </w:r>
      <w:r w:rsidR="00451C7F">
        <w:rPr>
          <w:rFonts w:asciiTheme="minorHAnsi" w:hAnsiTheme="minorHAnsi"/>
          <w:bCs w:val="0"/>
          <w:sz w:val="20"/>
          <w:szCs w:val="20"/>
        </w:rPr>
        <w:t>Marzo de 2017</w:t>
      </w:r>
      <w:r w:rsidRPr="000908E2">
        <w:rPr>
          <w:rFonts w:asciiTheme="minorHAnsi" w:hAnsiTheme="minorHAnsi"/>
          <w:bCs w:val="0"/>
          <w:sz w:val="20"/>
          <w:szCs w:val="20"/>
        </w:rPr>
        <w:t xml:space="preserve"> asciende a la cantidad de $ </w:t>
      </w:r>
      <w:r w:rsidR="00451C7F">
        <w:rPr>
          <w:rFonts w:asciiTheme="minorHAnsi" w:hAnsiTheme="minorHAnsi"/>
          <w:bCs w:val="0"/>
          <w:sz w:val="20"/>
          <w:szCs w:val="20"/>
        </w:rPr>
        <w:t>195,449</w:t>
      </w:r>
      <w:r w:rsidR="00C10FD5">
        <w:rPr>
          <w:rFonts w:asciiTheme="minorHAnsi" w:hAnsiTheme="minorHAnsi"/>
          <w:bCs w:val="0"/>
          <w:sz w:val="20"/>
          <w:szCs w:val="20"/>
        </w:rPr>
        <w:t>.</w:t>
      </w:r>
      <w:r w:rsidRPr="000908E2">
        <w:rPr>
          <w:rFonts w:asciiTheme="minorHAnsi" w:hAnsiTheme="minorHAnsi"/>
          <w:bCs w:val="0"/>
          <w:sz w:val="20"/>
          <w:szCs w:val="20"/>
        </w:rPr>
        <w:t>00, que se integra de la siguiente forma:</w:t>
      </w:r>
    </w:p>
    <w:p w:rsidR="00764803" w:rsidRPr="000908E2" w:rsidRDefault="00764803" w:rsidP="00764803">
      <w:pPr>
        <w:pStyle w:val="Textoindependiente"/>
        <w:rPr>
          <w:rFonts w:asciiTheme="minorHAnsi" w:hAnsiTheme="minorHAnsi"/>
          <w:bCs w:val="0"/>
          <w:sz w:val="20"/>
          <w:szCs w:val="20"/>
        </w:rPr>
      </w:pPr>
    </w:p>
    <w:bookmarkStart w:id="18" w:name="_MON_1464548483"/>
    <w:bookmarkEnd w:id="18"/>
    <w:p w:rsidR="00764803" w:rsidRPr="005B5DA2" w:rsidRDefault="00451C7F" w:rsidP="00764803">
      <w:pPr>
        <w:pStyle w:val="Textoindependiente"/>
        <w:jc w:val="center"/>
        <w:rPr>
          <w:rFonts w:asciiTheme="minorHAnsi" w:hAnsiTheme="minorHAnsi"/>
          <w:sz w:val="20"/>
          <w:szCs w:val="20"/>
        </w:rPr>
      </w:pPr>
      <w:r w:rsidRPr="000908E2">
        <w:rPr>
          <w:rFonts w:asciiTheme="minorHAnsi" w:hAnsiTheme="minorHAnsi"/>
          <w:sz w:val="20"/>
          <w:szCs w:val="20"/>
        </w:rPr>
        <w:object w:dxaOrig="7782" w:dyaOrig="1823">
          <v:shape id="_x0000_i1041" type="#_x0000_t75" style="width:390pt;height:90pt" o:ole="">
            <v:imagedata r:id="rId49" o:title=""/>
          </v:shape>
          <o:OLEObject Type="Embed" ProgID="Excel.Sheet.8" ShapeID="_x0000_i1041" DrawAspect="Content" ObjectID="_1555199772" r:id="rId50"/>
        </w:objec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numPr>
          <w:ilvl w:val="2"/>
          <w:numId w:val="22"/>
        </w:numPr>
        <w:tabs>
          <w:tab w:val="left" w:pos="426"/>
        </w:tabs>
        <w:ind w:left="0" w:firstLine="0"/>
        <w:rPr>
          <w:rFonts w:asciiTheme="minorHAnsi" w:hAnsiTheme="minorHAnsi"/>
          <w:b/>
          <w:sz w:val="20"/>
          <w:szCs w:val="20"/>
        </w:rPr>
      </w:pPr>
      <w:r>
        <w:rPr>
          <w:rFonts w:asciiTheme="minorHAnsi" w:hAnsiTheme="minorHAnsi"/>
          <w:b/>
          <w:sz w:val="20"/>
          <w:szCs w:val="20"/>
        </w:rPr>
        <w:t xml:space="preserve">   </w:t>
      </w:r>
      <w:r w:rsidRPr="000908E2">
        <w:rPr>
          <w:rFonts w:asciiTheme="minorHAnsi" w:hAnsiTheme="minorHAnsi"/>
          <w:b/>
          <w:sz w:val="20"/>
          <w:szCs w:val="20"/>
        </w:rPr>
        <w:t>Estimaciones y deterioros</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22B3F" w:rsidP="00764803">
      <w:pPr>
        <w:pStyle w:val="Prrafodelista"/>
        <w:tabs>
          <w:tab w:val="left" w:pos="426"/>
        </w:tabs>
        <w:ind w:left="0"/>
        <w:jc w:val="both"/>
        <w:rPr>
          <w:rFonts w:asciiTheme="minorHAnsi" w:hAnsiTheme="minorHAnsi"/>
          <w:sz w:val="20"/>
          <w:szCs w:val="20"/>
        </w:rPr>
      </w:pPr>
      <w:r>
        <w:rPr>
          <w:rFonts w:asciiTheme="minorHAnsi" w:hAnsiTheme="minorHAnsi"/>
          <w:sz w:val="20"/>
          <w:szCs w:val="20"/>
        </w:rPr>
        <w:t>En los</w:t>
      </w:r>
      <w:r w:rsidR="00764803" w:rsidRPr="000908E2">
        <w:rPr>
          <w:rFonts w:asciiTheme="minorHAnsi" w:hAnsiTheme="minorHAnsi"/>
          <w:sz w:val="20"/>
          <w:szCs w:val="20"/>
        </w:rPr>
        <w:t xml:space="preserve"> mes</w:t>
      </w:r>
      <w:r>
        <w:rPr>
          <w:rFonts w:asciiTheme="minorHAnsi" w:hAnsiTheme="minorHAnsi"/>
          <w:sz w:val="20"/>
          <w:szCs w:val="20"/>
        </w:rPr>
        <w:t>es</w:t>
      </w:r>
      <w:r w:rsidR="00764803" w:rsidRPr="000908E2">
        <w:rPr>
          <w:rFonts w:asciiTheme="minorHAnsi" w:hAnsiTheme="minorHAnsi"/>
          <w:sz w:val="20"/>
          <w:szCs w:val="20"/>
        </w:rPr>
        <w:t xml:space="preserve"> de Diciembre de 2013</w:t>
      </w:r>
      <w:r>
        <w:rPr>
          <w:rFonts w:asciiTheme="minorHAnsi" w:hAnsiTheme="minorHAnsi"/>
          <w:sz w:val="20"/>
          <w:szCs w:val="20"/>
        </w:rPr>
        <w:t xml:space="preserve"> y Marzo de 2017, se registraron</w:t>
      </w:r>
      <w:r w:rsidR="00764803" w:rsidRPr="000908E2">
        <w:rPr>
          <w:rFonts w:asciiTheme="minorHAnsi" w:hAnsiTheme="minorHAnsi"/>
          <w:sz w:val="20"/>
          <w:szCs w:val="20"/>
        </w:rPr>
        <w:t xml:space="preserve"> la estimación para cuentas incobrables por l</w:t>
      </w:r>
      <w:r w:rsidR="00764803">
        <w:rPr>
          <w:rFonts w:asciiTheme="minorHAnsi" w:hAnsiTheme="minorHAnsi"/>
          <w:sz w:val="20"/>
          <w:szCs w:val="20"/>
        </w:rPr>
        <w:t>a cantidad de</w:t>
      </w:r>
      <w:r w:rsidR="00764803" w:rsidRPr="000908E2">
        <w:rPr>
          <w:rFonts w:asciiTheme="minorHAnsi" w:hAnsiTheme="minorHAnsi"/>
          <w:sz w:val="20"/>
          <w:szCs w:val="20"/>
        </w:rPr>
        <w:t xml:space="preserve"> $ </w:t>
      </w:r>
      <w:r w:rsidR="00764803">
        <w:rPr>
          <w:rFonts w:asciiTheme="minorHAnsi" w:hAnsiTheme="minorHAnsi"/>
          <w:sz w:val="20"/>
          <w:szCs w:val="20"/>
        </w:rPr>
        <w:t>48</w:t>
      </w:r>
      <w:r w:rsidR="00764803" w:rsidRPr="000908E2">
        <w:rPr>
          <w:rFonts w:asciiTheme="minorHAnsi" w:hAnsiTheme="minorHAnsi"/>
          <w:sz w:val="20"/>
          <w:szCs w:val="20"/>
        </w:rPr>
        <w:t>,000.00</w:t>
      </w:r>
      <w:r>
        <w:rPr>
          <w:rFonts w:asciiTheme="minorHAnsi" w:hAnsiTheme="minorHAnsi"/>
          <w:sz w:val="20"/>
          <w:szCs w:val="20"/>
        </w:rPr>
        <w:t xml:space="preserve"> y $ 11,600.00, </w:t>
      </w:r>
      <w:r w:rsidR="00764803" w:rsidRPr="000908E2">
        <w:rPr>
          <w:rFonts w:asciiTheme="minorHAnsi" w:hAnsiTheme="minorHAnsi"/>
          <w:sz w:val="20"/>
          <w:szCs w:val="20"/>
        </w:rPr>
        <w:t xml:space="preserve">que corresponde a saldos de dudosa recuperación. Esta </w:t>
      </w:r>
      <w:r>
        <w:rPr>
          <w:rFonts w:asciiTheme="minorHAnsi" w:hAnsiTheme="minorHAnsi"/>
          <w:sz w:val="20"/>
          <w:szCs w:val="20"/>
        </w:rPr>
        <w:t xml:space="preserve">estimación hace un total de $ 59,600.00 que </w:t>
      </w:r>
      <w:r w:rsidR="00764803" w:rsidRPr="000908E2">
        <w:rPr>
          <w:rFonts w:asciiTheme="minorHAnsi" w:hAnsiTheme="minorHAnsi"/>
          <w:sz w:val="20"/>
          <w:szCs w:val="20"/>
        </w:rPr>
        <w:t>se cargó a la cuenta de resultados del ejercicio 2013</w:t>
      </w:r>
      <w:r>
        <w:rPr>
          <w:rFonts w:asciiTheme="minorHAnsi" w:hAnsiTheme="minorHAnsi"/>
          <w:sz w:val="20"/>
          <w:szCs w:val="20"/>
        </w:rPr>
        <w:t xml:space="preserve"> y 2017, respectivamente</w:t>
      </w:r>
      <w:r w:rsidR="00764803" w:rsidRPr="000908E2">
        <w:rPr>
          <w:rFonts w:asciiTheme="minorHAnsi" w:hAnsiTheme="minorHAnsi"/>
          <w:sz w:val="20"/>
          <w:szCs w:val="20"/>
        </w:rPr>
        <w:t>, denominada Estimación por pérdida o deterioro de activos circulantes.</w:t>
      </w:r>
    </w:p>
    <w:p w:rsidR="00764803" w:rsidRPr="000908E2" w:rsidRDefault="00764803" w:rsidP="00764803">
      <w:pPr>
        <w:pStyle w:val="Prrafodelista"/>
        <w:tabs>
          <w:tab w:val="left" w:pos="426"/>
        </w:tabs>
        <w:ind w:left="0"/>
        <w:rPr>
          <w:rFonts w:asciiTheme="minorHAnsi" w:hAnsiTheme="minorHAnsi"/>
          <w:b/>
          <w:sz w:val="20"/>
          <w:szCs w:val="20"/>
        </w:rPr>
      </w:pPr>
    </w:p>
    <w:p w:rsidR="00764803" w:rsidRDefault="00764803" w:rsidP="00764803">
      <w:pPr>
        <w:pStyle w:val="Prrafodelista"/>
        <w:tabs>
          <w:tab w:val="left" w:pos="426"/>
        </w:tabs>
        <w:ind w:left="0"/>
        <w:rPr>
          <w:rFonts w:asciiTheme="minorHAnsi" w:hAnsiTheme="minorHAnsi"/>
          <w:b/>
          <w:sz w:val="20"/>
          <w:szCs w:val="20"/>
        </w:rPr>
      </w:pPr>
    </w:p>
    <w:p w:rsidR="00722B3F" w:rsidRDefault="00722B3F" w:rsidP="00764803">
      <w:pPr>
        <w:pStyle w:val="Prrafodelista"/>
        <w:tabs>
          <w:tab w:val="left" w:pos="426"/>
        </w:tabs>
        <w:ind w:left="0"/>
        <w:rPr>
          <w:rFonts w:asciiTheme="minorHAnsi" w:hAnsiTheme="minorHAnsi"/>
          <w:b/>
          <w:sz w:val="20"/>
          <w:szCs w:val="20"/>
        </w:rPr>
      </w:pPr>
    </w:p>
    <w:p w:rsidR="00722B3F" w:rsidRDefault="00722B3F" w:rsidP="00764803">
      <w:pPr>
        <w:pStyle w:val="Prrafodelista"/>
        <w:tabs>
          <w:tab w:val="left" w:pos="426"/>
        </w:tabs>
        <w:ind w:left="0"/>
        <w:rPr>
          <w:rFonts w:asciiTheme="minorHAnsi" w:hAnsiTheme="minorHAnsi"/>
          <w:b/>
          <w:sz w:val="20"/>
          <w:szCs w:val="20"/>
        </w:rPr>
      </w:pPr>
    </w:p>
    <w:p w:rsidR="00722B3F" w:rsidRPr="000908E2" w:rsidRDefault="00722B3F"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numPr>
          <w:ilvl w:val="2"/>
          <w:numId w:val="22"/>
        </w:numPr>
        <w:tabs>
          <w:tab w:val="left" w:pos="426"/>
        </w:tabs>
        <w:ind w:left="0" w:firstLine="0"/>
        <w:rPr>
          <w:rFonts w:asciiTheme="minorHAnsi" w:hAnsiTheme="minorHAnsi"/>
          <w:b/>
          <w:sz w:val="20"/>
          <w:szCs w:val="20"/>
        </w:rPr>
      </w:pPr>
      <w:r>
        <w:rPr>
          <w:rFonts w:asciiTheme="minorHAnsi" w:hAnsiTheme="minorHAnsi"/>
          <w:b/>
          <w:sz w:val="20"/>
          <w:szCs w:val="20"/>
        </w:rPr>
        <w:t xml:space="preserve"> </w:t>
      </w:r>
      <w:r w:rsidRPr="000908E2">
        <w:rPr>
          <w:rFonts w:asciiTheme="minorHAnsi" w:hAnsiTheme="minorHAnsi"/>
          <w:b/>
          <w:sz w:val="20"/>
          <w:szCs w:val="20"/>
        </w:rPr>
        <w:t>Otros Activos</w:t>
      </w:r>
      <w:r>
        <w:rPr>
          <w:rFonts w:asciiTheme="minorHAnsi" w:hAnsiTheme="minorHAnsi"/>
          <w:b/>
          <w:sz w:val="20"/>
          <w:szCs w:val="20"/>
        </w:rPr>
        <w:t xml:space="preserve"> Circulantes</w:t>
      </w:r>
      <w:r w:rsidRPr="000908E2">
        <w:rPr>
          <w:rFonts w:asciiTheme="minorHAnsi" w:hAnsiTheme="minorHAnsi"/>
          <w:b/>
          <w:sz w:val="20"/>
          <w:szCs w:val="20"/>
        </w:rPr>
        <w:t>.</w:t>
      </w:r>
    </w:p>
    <w:p w:rsidR="00764803" w:rsidRPr="000908E2" w:rsidRDefault="00764803" w:rsidP="00764803">
      <w:pPr>
        <w:pStyle w:val="Textoindependiente2"/>
        <w:rPr>
          <w:rFonts w:asciiTheme="minorHAnsi" w:hAnsiTheme="minorHAnsi" w:cs="Times New Roman"/>
          <w:sz w:val="20"/>
          <w:szCs w:val="20"/>
        </w:rPr>
      </w:pPr>
    </w:p>
    <w:p w:rsidR="00764803" w:rsidRPr="000908E2" w:rsidRDefault="00764803" w:rsidP="00764803">
      <w:pPr>
        <w:pStyle w:val="Textoindependiente2"/>
        <w:tabs>
          <w:tab w:val="left" w:pos="284"/>
        </w:tabs>
        <w:rPr>
          <w:rFonts w:asciiTheme="minorHAnsi" w:hAnsiTheme="minorHAnsi" w:cs="Times New Roman"/>
          <w:sz w:val="20"/>
          <w:szCs w:val="20"/>
        </w:rPr>
      </w:pPr>
      <w:r w:rsidRPr="000908E2">
        <w:rPr>
          <w:rFonts w:asciiTheme="minorHAnsi" w:hAnsiTheme="minorHAnsi" w:cs="Times New Roman"/>
          <w:sz w:val="20"/>
          <w:szCs w:val="20"/>
        </w:rPr>
        <w:t>En la cuenta de otros activos circulantes se registran los depósitos en garantía otorgados por la renta de una bodega,</w:t>
      </w:r>
      <w:r>
        <w:rPr>
          <w:rFonts w:asciiTheme="minorHAnsi" w:hAnsiTheme="minorHAnsi" w:cs="Times New Roman"/>
          <w:sz w:val="20"/>
          <w:szCs w:val="20"/>
        </w:rPr>
        <w:t xml:space="preserve">  y</w:t>
      </w:r>
      <w:r w:rsidRPr="000908E2">
        <w:rPr>
          <w:rFonts w:asciiTheme="minorHAnsi" w:hAnsiTheme="minorHAnsi" w:cs="Times New Roman"/>
          <w:sz w:val="20"/>
          <w:szCs w:val="20"/>
        </w:rPr>
        <w:t xml:space="preserve"> el uso de servicio de  telefonía celular; el total asciende a la cantidad de $ 30,245.00.</w:t>
      </w:r>
    </w:p>
    <w:p w:rsidR="00764803" w:rsidRPr="000908E2" w:rsidRDefault="00764803" w:rsidP="00764803">
      <w:pPr>
        <w:tabs>
          <w:tab w:val="left" w:pos="426"/>
        </w:tabs>
        <w:rPr>
          <w:rFonts w:asciiTheme="minorHAnsi" w:hAnsiTheme="minorHAnsi"/>
          <w:b/>
          <w:sz w:val="20"/>
          <w:szCs w:val="20"/>
        </w:rPr>
      </w:pPr>
    </w:p>
    <w:p w:rsidR="00764803" w:rsidRPr="000908E2" w:rsidRDefault="00764803" w:rsidP="00764803">
      <w:pPr>
        <w:pStyle w:val="Prrafodelista"/>
        <w:numPr>
          <w:ilvl w:val="1"/>
          <w:numId w:val="22"/>
        </w:numPr>
        <w:tabs>
          <w:tab w:val="left" w:pos="426"/>
        </w:tabs>
        <w:rPr>
          <w:rFonts w:asciiTheme="minorHAnsi" w:hAnsiTheme="minorHAnsi"/>
          <w:b/>
          <w:sz w:val="20"/>
          <w:szCs w:val="20"/>
        </w:rPr>
      </w:pPr>
      <w:r w:rsidRPr="000908E2">
        <w:rPr>
          <w:rFonts w:asciiTheme="minorHAnsi" w:hAnsiTheme="minorHAnsi"/>
          <w:b/>
          <w:sz w:val="20"/>
          <w:szCs w:val="20"/>
        </w:rPr>
        <w:t>Pasivo</w:t>
      </w:r>
    </w:p>
    <w:p w:rsidR="00764803" w:rsidRPr="000908E2" w:rsidRDefault="00764803" w:rsidP="00764803">
      <w:pPr>
        <w:pStyle w:val="Prrafodelista"/>
        <w:tabs>
          <w:tab w:val="left" w:pos="426"/>
        </w:tabs>
        <w:ind w:left="0"/>
        <w:rPr>
          <w:rFonts w:asciiTheme="minorHAnsi" w:hAnsiTheme="minorHAnsi"/>
          <w:sz w:val="20"/>
          <w:szCs w:val="20"/>
        </w:rPr>
      </w:pPr>
    </w:p>
    <w:p w:rsidR="00764803" w:rsidRPr="000908E2" w:rsidRDefault="00764803" w:rsidP="00764803">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1.2.1 Cuentas por pagar a corto plazo.</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El FIGAROSY dispone de </w:t>
      </w:r>
      <w:r w:rsidRPr="005E50AA">
        <w:rPr>
          <w:rFonts w:asciiTheme="minorHAnsi" w:hAnsiTheme="minorHAnsi"/>
          <w:sz w:val="20"/>
          <w:szCs w:val="20"/>
        </w:rPr>
        <w:t xml:space="preserve">$ </w:t>
      </w:r>
      <w:r w:rsidR="00195FA8">
        <w:rPr>
          <w:rFonts w:asciiTheme="minorHAnsi" w:hAnsiTheme="minorHAnsi"/>
          <w:sz w:val="20"/>
          <w:szCs w:val="20"/>
        </w:rPr>
        <w:t>13.35</w:t>
      </w:r>
      <w:r w:rsidRPr="000908E2">
        <w:rPr>
          <w:rFonts w:asciiTheme="minorHAnsi" w:hAnsiTheme="minorHAnsi"/>
          <w:sz w:val="20"/>
          <w:szCs w:val="20"/>
        </w:rPr>
        <w:t xml:space="preserve"> de Activo Circulante para pagar cada $ 1.00 de obligaciones a corto plazo, por lo que puede cubrir la exigibilidad de sus obligaciones. </w:t>
      </w:r>
    </w:p>
    <w:p w:rsidR="00764803" w:rsidRPr="000908E2" w:rsidRDefault="00764803" w:rsidP="00764803">
      <w:pPr>
        <w:pStyle w:val="Prrafodelista"/>
        <w:tabs>
          <w:tab w:val="left" w:pos="426"/>
        </w:tabs>
        <w:ind w:left="0"/>
        <w:rPr>
          <w:rFonts w:asciiTheme="minorHAnsi" w:hAnsiTheme="minorHAnsi"/>
          <w:sz w:val="20"/>
          <w:szCs w:val="20"/>
        </w:rPr>
      </w:pPr>
    </w:p>
    <w:p w:rsidR="00764803" w:rsidRDefault="00764803" w:rsidP="00764803">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El rubro de Cuentas por pagar a corto plazo al </w:t>
      </w:r>
      <w:r>
        <w:rPr>
          <w:rFonts w:asciiTheme="minorHAnsi" w:hAnsiTheme="minorHAnsi"/>
          <w:sz w:val="20"/>
          <w:szCs w:val="20"/>
        </w:rPr>
        <w:t>31</w:t>
      </w:r>
      <w:r w:rsidRPr="000908E2">
        <w:rPr>
          <w:rFonts w:asciiTheme="minorHAnsi" w:hAnsiTheme="minorHAnsi"/>
          <w:sz w:val="20"/>
          <w:szCs w:val="20"/>
        </w:rPr>
        <w:t xml:space="preserve"> de </w:t>
      </w:r>
      <w:r w:rsidR="00213DD3">
        <w:rPr>
          <w:rFonts w:asciiTheme="minorHAnsi" w:hAnsiTheme="minorHAnsi"/>
          <w:sz w:val="20"/>
          <w:szCs w:val="20"/>
        </w:rPr>
        <w:t>Marzo de 2017</w:t>
      </w:r>
      <w:r w:rsidRPr="000908E2">
        <w:rPr>
          <w:rFonts w:asciiTheme="minorHAnsi" w:hAnsiTheme="minorHAnsi"/>
          <w:sz w:val="20"/>
          <w:szCs w:val="20"/>
        </w:rPr>
        <w:t>, se encuentra integrada de la siguiente manera:</w:t>
      </w:r>
    </w:p>
    <w:p w:rsidR="00764803" w:rsidRDefault="00764803" w:rsidP="00764803">
      <w:pPr>
        <w:pStyle w:val="Prrafodelista"/>
        <w:tabs>
          <w:tab w:val="left" w:pos="426"/>
        </w:tabs>
        <w:ind w:left="0"/>
        <w:rPr>
          <w:rFonts w:asciiTheme="minorHAnsi" w:hAnsiTheme="minorHAnsi"/>
          <w:sz w:val="20"/>
          <w:szCs w:val="20"/>
        </w:rPr>
      </w:pPr>
    </w:p>
    <w:bookmarkStart w:id="19" w:name="_MON_1530456662"/>
    <w:bookmarkEnd w:id="19"/>
    <w:p w:rsidR="00764803" w:rsidRPr="00945ECD" w:rsidRDefault="00195FA8" w:rsidP="00945ECD">
      <w:pPr>
        <w:pStyle w:val="Prrafodelista"/>
        <w:tabs>
          <w:tab w:val="left" w:pos="426"/>
        </w:tabs>
        <w:ind w:left="0"/>
        <w:jc w:val="center"/>
        <w:rPr>
          <w:rFonts w:asciiTheme="minorHAnsi" w:hAnsiTheme="minorHAnsi"/>
          <w:sz w:val="20"/>
          <w:szCs w:val="20"/>
        </w:rPr>
      </w:pPr>
      <w:r w:rsidRPr="000908E2">
        <w:rPr>
          <w:rFonts w:asciiTheme="minorHAnsi" w:hAnsiTheme="minorHAnsi" w:cs="Arial"/>
          <w:bCs/>
          <w:sz w:val="20"/>
          <w:szCs w:val="20"/>
        </w:rPr>
        <w:object w:dxaOrig="7523" w:dyaOrig="1438">
          <v:shape id="_x0000_i1042" type="#_x0000_t75" style="width:376.2pt;height:70.2pt" o:ole="">
            <v:imagedata r:id="rId51" o:title=""/>
          </v:shape>
          <o:OLEObject Type="Embed" ProgID="Excel.Sheet.8" ShapeID="_x0000_i1042" DrawAspect="Content" ObjectID="_1555199773" r:id="rId52"/>
        </w:object>
      </w:r>
    </w:p>
    <w:p w:rsidR="00DD1095" w:rsidRPr="00722B3F" w:rsidRDefault="00764803" w:rsidP="00DD1095">
      <w:pPr>
        <w:pStyle w:val="Prrafodelista"/>
        <w:numPr>
          <w:ilvl w:val="3"/>
          <w:numId w:val="34"/>
        </w:numPr>
        <w:tabs>
          <w:tab w:val="left" w:pos="284"/>
        </w:tabs>
        <w:rPr>
          <w:rFonts w:asciiTheme="minorHAnsi" w:hAnsiTheme="minorHAnsi"/>
          <w:sz w:val="20"/>
          <w:szCs w:val="20"/>
        </w:rPr>
      </w:pPr>
      <w:r w:rsidRPr="00FE1C62">
        <w:rPr>
          <w:rFonts w:asciiTheme="minorHAnsi" w:hAnsiTheme="minorHAnsi"/>
          <w:sz w:val="20"/>
          <w:szCs w:val="20"/>
        </w:rPr>
        <w:t>La cuenta de proveedores se integra de la siguiente manera:</w:t>
      </w:r>
    </w:p>
    <w:bookmarkStart w:id="20" w:name="_MON_1458661392"/>
    <w:bookmarkEnd w:id="20"/>
    <w:p w:rsidR="00764803" w:rsidRPr="000908E2" w:rsidRDefault="0055502F" w:rsidP="00764803">
      <w:pPr>
        <w:rPr>
          <w:rFonts w:asciiTheme="minorHAnsi" w:hAnsiTheme="minorHAnsi" w:cs="Arial"/>
          <w:bCs/>
          <w:sz w:val="20"/>
          <w:szCs w:val="20"/>
          <w:u w:val="single"/>
        </w:rPr>
      </w:pPr>
      <w:r w:rsidRPr="000908E2">
        <w:rPr>
          <w:rFonts w:asciiTheme="minorHAnsi" w:hAnsiTheme="minorHAnsi" w:cs="Arial"/>
          <w:bCs/>
          <w:sz w:val="20"/>
          <w:szCs w:val="20"/>
        </w:rPr>
        <w:object w:dxaOrig="10126" w:dyaOrig="7754">
          <v:shape id="_x0000_i1043" type="#_x0000_t75" style="width:508.2pt;height:387pt" o:ole="">
            <v:imagedata r:id="rId53" o:title=""/>
          </v:shape>
          <o:OLEObject Type="Embed" ProgID="Excel.Sheet.8" ShapeID="_x0000_i1043" DrawAspect="Content" ObjectID="_1555199774" r:id="rId54"/>
        </w:object>
      </w:r>
    </w:p>
    <w:p w:rsidR="00764803" w:rsidRPr="000908E2" w:rsidRDefault="00764803" w:rsidP="00764803">
      <w:pPr>
        <w:pStyle w:val="Prrafodelista"/>
        <w:numPr>
          <w:ilvl w:val="0"/>
          <w:numId w:val="18"/>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Los saldos de proveedores </w:t>
      </w:r>
      <w:r w:rsidR="004C64BF">
        <w:rPr>
          <w:rFonts w:asciiTheme="minorHAnsi" w:hAnsiTheme="minorHAnsi"/>
          <w:sz w:val="20"/>
          <w:szCs w:val="20"/>
        </w:rPr>
        <w:t xml:space="preserve">en general </w:t>
      </w:r>
      <w:r w:rsidRPr="000908E2">
        <w:rPr>
          <w:rFonts w:asciiTheme="minorHAnsi" w:hAnsiTheme="minorHAnsi"/>
          <w:sz w:val="20"/>
          <w:szCs w:val="20"/>
        </w:rPr>
        <w:t>presentan con una antigüedad no mayor a 90 días naturales, debido que existe la política de pago de 10 días hábiles posterior a la entrega del comprobante fiscal a la Dirección de Administración y Finanzas del FIGAROSY.</w:t>
      </w:r>
    </w:p>
    <w:p w:rsidR="00764803" w:rsidRPr="000908E2" w:rsidRDefault="00764803" w:rsidP="00764803">
      <w:pPr>
        <w:jc w:val="both"/>
        <w:rPr>
          <w:rFonts w:asciiTheme="minorHAnsi" w:hAnsiTheme="minorHAnsi"/>
          <w:sz w:val="20"/>
          <w:szCs w:val="20"/>
        </w:rPr>
      </w:pPr>
    </w:p>
    <w:p w:rsidR="000B52D8" w:rsidRDefault="00764803" w:rsidP="00764803">
      <w:pPr>
        <w:pStyle w:val="Prrafodelista"/>
        <w:numPr>
          <w:ilvl w:val="0"/>
          <w:numId w:val="1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Los saldos de proveedores que presentan con una antigüedad mayor a 365 días naturales, es debido a que el proveedor no llevó a cabo el cobro del cheque respectivo y se procedió a cancelar dicho cheque, conforme a las pol</w:t>
      </w:r>
      <w:r w:rsidR="00DA0E58">
        <w:rPr>
          <w:rFonts w:asciiTheme="minorHAnsi" w:hAnsiTheme="minorHAnsi"/>
          <w:sz w:val="20"/>
          <w:szCs w:val="20"/>
        </w:rPr>
        <w:t>íticas administrativas aplicables</w:t>
      </w:r>
      <w:r w:rsidRPr="000908E2">
        <w:rPr>
          <w:rFonts w:asciiTheme="minorHAnsi" w:hAnsiTheme="minorHAnsi"/>
          <w:sz w:val="20"/>
          <w:szCs w:val="20"/>
        </w:rPr>
        <w:t>.</w:t>
      </w:r>
    </w:p>
    <w:p w:rsidR="000B52D8" w:rsidRPr="000908E2" w:rsidRDefault="000B52D8" w:rsidP="00764803">
      <w:pPr>
        <w:rPr>
          <w:rFonts w:asciiTheme="minorHAnsi" w:hAnsiTheme="minorHAnsi" w:cs="Arial"/>
          <w:bCs/>
          <w:sz w:val="20"/>
          <w:szCs w:val="20"/>
        </w:rPr>
      </w:pPr>
    </w:p>
    <w:p w:rsidR="00764803" w:rsidRDefault="00764803" w:rsidP="00764803">
      <w:pPr>
        <w:pStyle w:val="Prrafodelista"/>
        <w:numPr>
          <w:ilvl w:val="3"/>
          <w:numId w:val="31"/>
        </w:numPr>
        <w:tabs>
          <w:tab w:val="left" w:pos="284"/>
        </w:tabs>
        <w:ind w:left="709" w:hanging="709"/>
        <w:rPr>
          <w:rFonts w:asciiTheme="minorHAnsi" w:hAnsiTheme="minorHAnsi"/>
          <w:sz w:val="20"/>
          <w:szCs w:val="20"/>
        </w:rPr>
      </w:pPr>
      <w:r w:rsidRPr="000908E2">
        <w:rPr>
          <w:rFonts w:asciiTheme="minorHAnsi" w:hAnsiTheme="minorHAnsi"/>
          <w:sz w:val="20"/>
          <w:szCs w:val="20"/>
        </w:rPr>
        <w:t>La cuenta de retenciones y contribuciones se integra de la siguiente manera:</w:t>
      </w:r>
    </w:p>
    <w:p w:rsidR="0055502F" w:rsidRPr="00D47708" w:rsidRDefault="0055502F" w:rsidP="0055502F">
      <w:pPr>
        <w:pStyle w:val="Prrafodelista"/>
        <w:tabs>
          <w:tab w:val="left" w:pos="284"/>
        </w:tabs>
        <w:ind w:left="709"/>
        <w:rPr>
          <w:rFonts w:asciiTheme="minorHAnsi" w:hAnsiTheme="minorHAnsi"/>
          <w:sz w:val="20"/>
          <w:szCs w:val="20"/>
        </w:rPr>
      </w:pPr>
    </w:p>
    <w:bookmarkStart w:id="21" w:name="_MON_1458661467"/>
    <w:bookmarkEnd w:id="21"/>
    <w:p w:rsidR="00764803" w:rsidRPr="00BF65E4" w:rsidRDefault="0055502F" w:rsidP="00764803">
      <w:pPr>
        <w:pStyle w:val="Prrafodelista"/>
        <w:tabs>
          <w:tab w:val="left" w:pos="426"/>
        </w:tabs>
        <w:ind w:left="0"/>
        <w:rPr>
          <w:rFonts w:asciiTheme="minorHAnsi" w:hAnsiTheme="minorHAnsi" w:cs="Arial"/>
          <w:bCs/>
          <w:sz w:val="20"/>
          <w:szCs w:val="20"/>
        </w:rPr>
      </w:pPr>
      <w:r w:rsidRPr="000908E2">
        <w:rPr>
          <w:rFonts w:asciiTheme="minorHAnsi" w:hAnsiTheme="minorHAnsi" w:cs="Arial"/>
          <w:bCs/>
          <w:sz w:val="20"/>
          <w:szCs w:val="20"/>
        </w:rPr>
        <w:object w:dxaOrig="9801" w:dyaOrig="5443">
          <v:shape id="_x0000_i1044" type="#_x0000_t75" style="width:490.8pt;height:276.6pt" o:ole="">
            <v:imagedata r:id="rId55" o:title=""/>
          </v:shape>
          <o:OLEObject Type="Embed" ProgID="Excel.Sheet.8" ShapeID="_x0000_i1044" DrawAspect="Content" ObjectID="_1555199775" r:id="rId56"/>
        </w:object>
      </w: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 xml:space="preserve">Los saldos de retenciones y contribuciones presentados, corresponden al mes de </w:t>
      </w:r>
      <w:r w:rsidR="004C64BF">
        <w:rPr>
          <w:rFonts w:asciiTheme="minorHAnsi" w:hAnsiTheme="minorHAnsi"/>
          <w:sz w:val="20"/>
          <w:szCs w:val="20"/>
        </w:rPr>
        <w:t>Marzo de 2017</w:t>
      </w:r>
      <w:r w:rsidRPr="000908E2">
        <w:rPr>
          <w:rFonts w:asciiTheme="minorHAnsi" w:hAnsiTheme="minorHAnsi"/>
          <w:sz w:val="20"/>
          <w:szCs w:val="20"/>
        </w:rPr>
        <w:t xml:space="preserve"> y son pagaderos al mes siguiente.</w: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Las contribuciones federales (ISR salarios, ISR asimilable a salarios, ISR retención de honorarios, ISR arrendamiento de edificio) son enteradas y pagadas a la autoridad fiscal correspondiente a más tardar el 17 del mes de calendario inmediato posterior al de terminación del período de la retención.</w:t>
      </w:r>
    </w:p>
    <w:p w:rsidR="00764803" w:rsidRPr="000908E2" w:rsidRDefault="00764803" w:rsidP="00764803">
      <w:pPr>
        <w:pStyle w:val="Prrafodelista"/>
        <w:tabs>
          <w:tab w:val="left" w:pos="426"/>
        </w:tabs>
        <w:ind w:left="0"/>
        <w:jc w:val="both"/>
        <w:rPr>
          <w:rFonts w:asciiTheme="minorHAnsi" w:hAnsiTheme="minorHAnsi"/>
          <w:sz w:val="20"/>
          <w:szCs w:val="20"/>
        </w:rPr>
      </w:pP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Las contribuciones estatales (4 % sobre nómina) son enteradas y pagadas a la autoridad fiscal correspondiente a más tardar el 10 del mes de calendario inmediato posterior al de terminación del período de la retención.</w:t>
      </w:r>
    </w:p>
    <w:p w:rsidR="00764803" w:rsidRPr="000908E2" w:rsidRDefault="00764803" w:rsidP="00764803">
      <w:pPr>
        <w:pStyle w:val="Prrafodelista"/>
        <w:tabs>
          <w:tab w:val="left" w:pos="284"/>
        </w:tabs>
        <w:ind w:left="0"/>
        <w:jc w:val="both"/>
        <w:rPr>
          <w:rFonts w:asciiTheme="minorHAnsi" w:hAnsiTheme="minorHAnsi"/>
          <w:sz w:val="20"/>
          <w:szCs w:val="20"/>
        </w:rPr>
      </w:pPr>
    </w:p>
    <w:p w:rsidR="0055502F" w:rsidRPr="000B52D8"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Las cuotas, aportaciones y descuentos al ISSTEY, que corresponden a los empleados adscritos al FIGAROSY, son enteradas y pagadas a más tardar el día 30 del mes inmediato posterior al de terminación del período de la retención.</w:t>
      </w:r>
    </w:p>
    <w:p w:rsidR="0055502F" w:rsidRDefault="0055502F" w:rsidP="00764803">
      <w:pPr>
        <w:tabs>
          <w:tab w:val="left" w:pos="284"/>
        </w:tabs>
        <w:rPr>
          <w:rFonts w:asciiTheme="minorHAnsi" w:hAnsiTheme="minorHAnsi" w:cs="Arial"/>
          <w:bCs/>
          <w:sz w:val="20"/>
          <w:szCs w:val="20"/>
        </w:rPr>
      </w:pPr>
    </w:p>
    <w:p w:rsidR="00DD1095" w:rsidRDefault="00DD1095" w:rsidP="00764803">
      <w:pPr>
        <w:tabs>
          <w:tab w:val="left" w:pos="284"/>
        </w:tabs>
        <w:rPr>
          <w:rFonts w:asciiTheme="minorHAnsi" w:hAnsiTheme="minorHAnsi" w:cs="Arial"/>
          <w:bCs/>
          <w:sz w:val="20"/>
          <w:szCs w:val="20"/>
        </w:rPr>
      </w:pPr>
    </w:p>
    <w:p w:rsidR="00DD1095" w:rsidRDefault="00DD1095" w:rsidP="00764803">
      <w:pPr>
        <w:tabs>
          <w:tab w:val="left" w:pos="284"/>
        </w:tabs>
        <w:rPr>
          <w:rFonts w:asciiTheme="minorHAnsi" w:hAnsiTheme="minorHAnsi" w:cs="Arial"/>
          <w:bCs/>
          <w:sz w:val="20"/>
          <w:szCs w:val="20"/>
        </w:rPr>
      </w:pPr>
    </w:p>
    <w:p w:rsidR="00DD1095" w:rsidRDefault="00DD1095" w:rsidP="00764803">
      <w:pPr>
        <w:tabs>
          <w:tab w:val="left" w:pos="284"/>
        </w:tabs>
        <w:rPr>
          <w:rFonts w:asciiTheme="minorHAnsi" w:hAnsiTheme="minorHAnsi" w:cs="Arial"/>
          <w:bCs/>
          <w:sz w:val="20"/>
          <w:szCs w:val="20"/>
        </w:rPr>
      </w:pPr>
    </w:p>
    <w:p w:rsidR="00DD1095" w:rsidRDefault="00DD1095" w:rsidP="00764803">
      <w:pPr>
        <w:tabs>
          <w:tab w:val="left" w:pos="284"/>
        </w:tabs>
        <w:rPr>
          <w:rFonts w:asciiTheme="minorHAnsi" w:hAnsiTheme="minorHAnsi" w:cs="Arial"/>
          <w:bCs/>
          <w:sz w:val="20"/>
          <w:szCs w:val="20"/>
        </w:rPr>
      </w:pPr>
    </w:p>
    <w:p w:rsidR="00DD1095" w:rsidRPr="000908E2" w:rsidRDefault="00DD1095" w:rsidP="00764803">
      <w:pPr>
        <w:tabs>
          <w:tab w:val="left" w:pos="284"/>
        </w:tabs>
        <w:rPr>
          <w:rFonts w:asciiTheme="minorHAnsi" w:hAnsiTheme="minorHAnsi" w:cs="Arial"/>
          <w:bCs/>
          <w:sz w:val="20"/>
          <w:szCs w:val="20"/>
        </w:rPr>
      </w:pPr>
    </w:p>
    <w:p w:rsidR="00764803" w:rsidRPr="000908E2" w:rsidRDefault="00764803" w:rsidP="00764803">
      <w:pPr>
        <w:pStyle w:val="Prrafodelista"/>
        <w:numPr>
          <w:ilvl w:val="0"/>
          <w:numId w:val="31"/>
        </w:numPr>
        <w:tabs>
          <w:tab w:val="left" w:pos="284"/>
        </w:tabs>
        <w:rPr>
          <w:rFonts w:asciiTheme="minorHAnsi" w:hAnsiTheme="minorHAnsi"/>
          <w:b/>
          <w:sz w:val="20"/>
          <w:szCs w:val="20"/>
        </w:rPr>
      </w:pPr>
      <w:r w:rsidRPr="000908E2">
        <w:rPr>
          <w:rFonts w:asciiTheme="minorHAnsi" w:hAnsiTheme="minorHAnsi"/>
          <w:b/>
          <w:sz w:val="20"/>
          <w:szCs w:val="20"/>
        </w:rPr>
        <w:t>NOTAS AL ESTADO DE ACTIVIDADES.</w:t>
      </w:r>
    </w:p>
    <w:p w:rsidR="00764803" w:rsidRPr="000908E2" w:rsidRDefault="00764803" w:rsidP="00764803">
      <w:pPr>
        <w:tabs>
          <w:tab w:val="left" w:pos="426"/>
        </w:tabs>
        <w:rPr>
          <w:rFonts w:asciiTheme="minorHAnsi" w:hAnsiTheme="minorHAnsi"/>
          <w:b/>
          <w:sz w:val="20"/>
          <w:szCs w:val="20"/>
        </w:rPr>
      </w:pPr>
    </w:p>
    <w:p w:rsidR="00764803" w:rsidRPr="000908E2" w:rsidRDefault="00764803" w:rsidP="00764803">
      <w:pPr>
        <w:pStyle w:val="Prrafodelista"/>
        <w:tabs>
          <w:tab w:val="left" w:pos="426"/>
        </w:tabs>
        <w:ind w:left="0"/>
        <w:rPr>
          <w:rFonts w:asciiTheme="minorHAnsi" w:hAnsiTheme="minorHAnsi"/>
          <w:b/>
          <w:sz w:val="20"/>
          <w:szCs w:val="20"/>
        </w:rPr>
      </w:pPr>
      <w:r w:rsidRPr="000908E2">
        <w:rPr>
          <w:rFonts w:asciiTheme="minorHAnsi" w:hAnsiTheme="minorHAnsi"/>
          <w:b/>
          <w:sz w:val="20"/>
          <w:szCs w:val="20"/>
        </w:rPr>
        <w:t>2.1 Ingresos de gestión.</w:t>
      </w:r>
    </w:p>
    <w:p w:rsidR="00764803" w:rsidRPr="000908E2" w:rsidRDefault="00764803" w:rsidP="00764803">
      <w:pPr>
        <w:pStyle w:val="Prrafodelista"/>
        <w:tabs>
          <w:tab w:val="left" w:pos="426"/>
        </w:tabs>
        <w:ind w:left="0"/>
        <w:rPr>
          <w:rFonts w:asciiTheme="minorHAnsi" w:hAnsiTheme="minorHAnsi"/>
          <w:b/>
          <w:sz w:val="20"/>
          <w:szCs w:val="20"/>
        </w:rPr>
      </w:pPr>
    </w:p>
    <w:p w:rsidR="00764803" w:rsidRDefault="00764803" w:rsidP="00764803">
      <w:pPr>
        <w:tabs>
          <w:tab w:val="left" w:pos="284"/>
        </w:tabs>
        <w:rPr>
          <w:rFonts w:asciiTheme="minorHAnsi" w:hAnsiTheme="minorHAnsi"/>
          <w:sz w:val="20"/>
          <w:szCs w:val="20"/>
        </w:rPr>
      </w:pPr>
      <w:r w:rsidRPr="000908E2">
        <w:rPr>
          <w:rFonts w:asciiTheme="minorHAnsi" w:hAnsiTheme="minorHAnsi"/>
          <w:b/>
          <w:sz w:val="20"/>
          <w:szCs w:val="20"/>
        </w:rPr>
        <w:t>2.1.1</w:t>
      </w:r>
      <w:r w:rsidRPr="000908E2">
        <w:rPr>
          <w:rFonts w:asciiTheme="minorHAnsi" w:hAnsiTheme="minorHAnsi"/>
          <w:sz w:val="20"/>
          <w:szCs w:val="20"/>
        </w:rPr>
        <w:t xml:space="preserve"> El rubro de Ingresos por venta de bienes y servicios de organismos descentralizados producidos del 1</w:t>
      </w:r>
      <w:r>
        <w:rPr>
          <w:rFonts w:asciiTheme="minorHAnsi" w:hAnsiTheme="minorHAnsi"/>
          <w:sz w:val="20"/>
          <w:szCs w:val="20"/>
        </w:rPr>
        <w:t xml:space="preserve"> de Enero al 31</w:t>
      </w:r>
      <w:r w:rsidRPr="000908E2">
        <w:rPr>
          <w:rFonts w:asciiTheme="minorHAnsi" w:hAnsiTheme="minorHAnsi"/>
          <w:sz w:val="20"/>
          <w:szCs w:val="20"/>
        </w:rPr>
        <w:t xml:space="preserve"> de </w:t>
      </w:r>
      <w:r w:rsidR="0055502F">
        <w:rPr>
          <w:rFonts w:asciiTheme="minorHAnsi" w:hAnsiTheme="minorHAnsi"/>
          <w:sz w:val="20"/>
          <w:szCs w:val="20"/>
        </w:rPr>
        <w:t>Marzo</w:t>
      </w:r>
      <w:r w:rsidRPr="000908E2">
        <w:rPr>
          <w:rFonts w:asciiTheme="minorHAnsi" w:hAnsiTheme="minorHAnsi"/>
          <w:sz w:val="20"/>
          <w:szCs w:val="20"/>
        </w:rPr>
        <w:t xml:space="preserve"> </w:t>
      </w:r>
      <w:r w:rsidR="0055502F">
        <w:rPr>
          <w:rFonts w:asciiTheme="minorHAnsi" w:hAnsiTheme="minorHAnsi"/>
          <w:sz w:val="20"/>
          <w:szCs w:val="20"/>
        </w:rPr>
        <w:t>de 2017</w:t>
      </w:r>
      <w:r w:rsidRPr="000908E2">
        <w:rPr>
          <w:rFonts w:asciiTheme="minorHAnsi" w:hAnsiTheme="minorHAnsi"/>
          <w:sz w:val="20"/>
          <w:szCs w:val="20"/>
        </w:rPr>
        <w:t>, se encuentra integrado de la siguiente manera:</w:t>
      </w:r>
    </w:p>
    <w:p w:rsidR="00764803" w:rsidRDefault="00764803" w:rsidP="00764803">
      <w:pPr>
        <w:tabs>
          <w:tab w:val="left" w:pos="284"/>
        </w:tabs>
        <w:rPr>
          <w:rFonts w:asciiTheme="minorHAnsi" w:hAnsiTheme="minorHAnsi"/>
          <w:sz w:val="20"/>
          <w:szCs w:val="20"/>
        </w:rPr>
      </w:pPr>
    </w:p>
    <w:p w:rsidR="00764803" w:rsidRDefault="004F3223" w:rsidP="00764803">
      <w:pPr>
        <w:tabs>
          <w:tab w:val="left" w:pos="284"/>
        </w:tabs>
        <w:rPr>
          <w:rFonts w:asciiTheme="minorHAnsi" w:hAnsiTheme="minorHAnsi"/>
          <w:sz w:val="20"/>
          <w:szCs w:val="20"/>
        </w:rPr>
      </w:pPr>
      <w:r>
        <w:rPr>
          <w:rFonts w:asciiTheme="minorHAnsi" w:hAnsiTheme="minorHAnsi"/>
          <w:noProof/>
          <w:sz w:val="20"/>
          <w:szCs w:val="20"/>
          <w:lang w:eastAsia="es-MX"/>
        </w:rPr>
        <w:pict>
          <v:shape id="_x0000_s1489" type="#_x0000_t75" style="position:absolute;margin-left:37.8pt;margin-top:9.2pt;width:341.9pt;height:71.9pt;z-index:251665408">
            <v:imagedata r:id="rId57" o:title=""/>
            <w10:wrap type="square" side="left"/>
          </v:shape>
          <o:OLEObject Type="Embed" ProgID="Excel.Sheet.8" ShapeID="_x0000_s1489" DrawAspect="Content" ObjectID="_1555199794" r:id="rId58"/>
        </w:pict>
      </w:r>
    </w:p>
    <w:p w:rsidR="00764803" w:rsidRDefault="00764803" w:rsidP="00764803">
      <w:pPr>
        <w:tabs>
          <w:tab w:val="left" w:pos="284"/>
        </w:tabs>
        <w:rPr>
          <w:rFonts w:asciiTheme="minorHAnsi" w:hAnsiTheme="minorHAnsi"/>
          <w:sz w:val="20"/>
          <w:szCs w:val="20"/>
        </w:rPr>
      </w:pPr>
    </w:p>
    <w:p w:rsidR="00764803" w:rsidRDefault="00764803" w:rsidP="00764803">
      <w:pPr>
        <w:tabs>
          <w:tab w:val="left" w:pos="284"/>
        </w:tabs>
        <w:rPr>
          <w:rFonts w:asciiTheme="minorHAnsi" w:hAnsiTheme="minorHAnsi"/>
          <w:sz w:val="20"/>
          <w:szCs w:val="20"/>
        </w:rPr>
      </w:pPr>
    </w:p>
    <w:p w:rsidR="00764803" w:rsidRDefault="00764803" w:rsidP="00764803">
      <w:pPr>
        <w:tabs>
          <w:tab w:val="left" w:pos="284"/>
        </w:tabs>
        <w:rPr>
          <w:rFonts w:asciiTheme="minorHAnsi" w:hAnsiTheme="minorHAnsi"/>
          <w:sz w:val="20"/>
          <w:szCs w:val="20"/>
        </w:rPr>
      </w:pPr>
    </w:p>
    <w:p w:rsidR="00764803" w:rsidRDefault="00764803" w:rsidP="00764803">
      <w:pPr>
        <w:tabs>
          <w:tab w:val="left" w:pos="284"/>
        </w:tabs>
        <w:rPr>
          <w:rFonts w:asciiTheme="minorHAnsi" w:hAnsiTheme="minorHAnsi"/>
          <w:sz w:val="20"/>
          <w:szCs w:val="20"/>
        </w:rPr>
      </w:pP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numPr>
          <w:ilvl w:val="3"/>
          <w:numId w:val="24"/>
        </w:numPr>
        <w:tabs>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Pr="000908E2">
        <w:rPr>
          <w:rFonts w:asciiTheme="minorHAnsi" w:hAnsiTheme="minorHAnsi"/>
          <w:sz w:val="20"/>
          <w:szCs w:val="20"/>
        </w:rPr>
        <w:t>En la cuenta de ingresos por venta de localidades de la OSY, que acumula el importe total de la venta de localidades por las presentaciones de la Orquesta Sinfónica de Yucatán, en efectivo, tarjeta de crédito o débito y a través la página web (venta en línea) del 1</w:t>
      </w:r>
      <w:r>
        <w:rPr>
          <w:rFonts w:asciiTheme="minorHAnsi" w:hAnsiTheme="minorHAnsi"/>
          <w:sz w:val="20"/>
          <w:szCs w:val="20"/>
        </w:rPr>
        <w:t xml:space="preserve"> de Enero</w:t>
      </w:r>
      <w:r w:rsidRPr="000908E2">
        <w:rPr>
          <w:rFonts w:asciiTheme="minorHAnsi" w:hAnsiTheme="minorHAnsi"/>
          <w:sz w:val="20"/>
          <w:szCs w:val="20"/>
        </w:rPr>
        <w:t xml:space="preserve"> </w:t>
      </w:r>
      <w:r>
        <w:rPr>
          <w:rFonts w:asciiTheme="minorHAnsi" w:hAnsiTheme="minorHAnsi"/>
          <w:sz w:val="20"/>
          <w:szCs w:val="20"/>
        </w:rPr>
        <w:t xml:space="preserve">al 31 </w:t>
      </w:r>
      <w:r w:rsidRPr="000908E2">
        <w:rPr>
          <w:rFonts w:asciiTheme="minorHAnsi" w:hAnsiTheme="minorHAnsi"/>
          <w:sz w:val="20"/>
          <w:szCs w:val="20"/>
        </w:rPr>
        <w:t xml:space="preserve">de </w:t>
      </w:r>
      <w:r w:rsidR="00433942">
        <w:rPr>
          <w:rFonts w:asciiTheme="minorHAnsi" w:hAnsiTheme="minorHAnsi"/>
          <w:sz w:val="20"/>
          <w:szCs w:val="20"/>
        </w:rPr>
        <w:t>Marzo</w:t>
      </w:r>
      <w:r w:rsidRPr="000908E2">
        <w:rPr>
          <w:rFonts w:asciiTheme="minorHAnsi" w:hAnsiTheme="minorHAnsi"/>
          <w:sz w:val="20"/>
          <w:szCs w:val="20"/>
        </w:rPr>
        <w:t xml:space="preserve"> de 201</w:t>
      </w:r>
      <w:r w:rsidR="00433942">
        <w:rPr>
          <w:rFonts w:asciiTheme="minorHAnsi" w:hAnsiTheme="minorHAnsi"/>
          <w:sz w:val="20"/>
          <w:szCs w:val="20"/>
        </w:rPr>
        <w:t>7</w:t>
      </w:r>
      <w:r w:rsidRPr="000908E2">
        <w:rPr>
          <w:rFonts w:asciiTheme="minorHAnsi" w:hAnsiTheme="minorHAnsi"/>
          <w:sz w:val="20"/>
          <w:szCs w:val="20"/>
        </w:rPr>
        <w:t>, asciende a la cantidad de</w:t>
      </w:r>
      <w:r w:rsidR="00433942">
        <w:rPr>
          <w:rFonts w:asciiTheme="minorHAnsi" w:hAnsiTheme="minorHAnsi"/>
          <w:sz w:val="20"/>
          <w:szCs w:val="20"/>
        </w:rPr>
        <w:t xml:space="preserve">                          </w:t>
      </w:r>
      <w:r w:rsidRPr="000908E2">
        <w:rPr>
          <w:rFonts w:asciiTheme="minorHAnsi" w:hAnsiTheme="minorHAnsi"/>
          <w:sz w:val="20"/>
          <w:szCs w:val="20"/>
        </w:rPr>
        <w:t xml:space="preserve"> $ </w:t>
      </w:r>
      <w:r w:rsidR="00433942">
        <w:rPr>
          <w:rFonts w:asciiTheme="minorHAnsi" w:hAnsiTheme="minorHAnsi"/>
          <w:sz w:val="20"/>
          <w:szCs w:val="20"/>
        </w:rPr>
        <w:t>2</w:t>
      </w:r>
      <w:r w:rsidR="00656464">
        <w:rPr>
          <w:rFonts w:asciiTheme="minorHAnsi" w:hAnsiTheme="minorHAnsi"/>
          <w:sz w:val="20"/>
          <w:szCs w:val="20"/>
        </w:rPr>
        <w:t>´</w:t>
      </w:r>
      <w:r w:rsidR="00433942">
        <w:rPr>
          <w:rFonts w:asciiTheme="minorHAnsi" w:hAnsiTheme="minorHAnsi"/>
          <w:sz w:val="20"/>
          <w:szCs w:val="20"/>
        </w:rPr>
        <w:t>870</w:t>
      </w:r>
      <w:r>
        <w:rPr>
          <w:rFonts w:asciiTheme="minorHAnsi" w:hAnsiTheme="minorHAnsi"/>
          <w:sz w:val="20"/>
          <w:szCs w:val="20"/>
        </w:rPr>
        <w:t>,</w:t>
      </w:r>
      <w:r w:rsidR="00433942">
        <w:rPr>
          <w:rFonts w:asciiTheme="minorHAnsi" w:hAnsiTheme="minorHAnsi"/>
          <w:sz w:val="20"/>
          <w:szCs w:val="20"/>
        </w:rPr>
        <w:t>165</w:t>
      </w:r>
      <w:r w:rsidRPr="000908E2">
        <w:rPr>
          <w:rFonts w:asciiTheme="minorHAnsi" w:hAnsiTheme="minorHAnsi"/>
          <w:sz w:val="20"/>
          <w:szCs w:val="20"/>
        </w:rPr>
        <w:t xml:space="preserve">.00 y se integra de la siguiente manera:  </w:t>
      </w:r>
    </w:p>
    <w:p w:rsidR="00764803" w:rsidRPr="000908E2" w:rsidRDefault="00764803" w:rsidP="00764803">
      <w:pPr>
        <w:pStyle w:val="Prrafodelista"/>
        <w:tabs>
          <w:tab w:val="left" w:pos="284"/>
        </w:tabs>
        <w:ind w:left="0"/>
        <w:jc w:val="both"/>
        <w:rPr>
          <w:rFonts w:asciiTheme="minorHAnsi" w:hAnsiTheme="minorHAnsi"/>
          <w:sz w:val="20"/>
          <w:szCs w:val="20"/>
        </w:rPr>
      </w:pPr>
    </w:p>
    <w:p w:rsidR="00764803" w:rsidRPr="000908E2" w:rsidRDefault="00764803" w:rsidP="00764803">
      <w:pPr>
        <w:pStyle w:val="Prrafodelista"/>
        <w:tabs>
          <w:tab w:val="left" w:pos="284"/>
        </w:tabs>
        <w:ind w:left="0"/>
        <w:jc w:val="both"/>
        <w:rPr>
          <w:rFonts w:asciiTheme="minorHAnsi" w:hAnsiTheme="minorHAnsi"/>
          <w:sz w:val="20"/>
          <w:szCs w:val="20"/>
        </w:rPr>
      </w:pPr>
    </w:p>
    <w:bookmarkStart w:id="22" w:name="_MON_1458651796"/>
    <w:bookmarkEnd w:id="22"/>
    <w:p w:rsidR="00764803" w:rsidRPr="000908E2" w:rsidRDefault="00433942" w:rsidP="00764803">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7425" w:dyaOrig="1124">
          <v:shape id="_x0000_i1045" type="#_x0000_t75" style="width:373.2pt;height:57pt" o:ole="">
            <v:imagedata r:id="rId59" o:title=""/>
          </v:shape>
          <o:OLEObject Type="Embed" ProgID="Excel.Sheet.8" ShapeID="_x0000_i1045" DrawAspect="Content" ObjectID="_1555199776" r:id="rId60"/>
        </w:object>
      </w:r>
    </w:p>
    <w:p w:rsidR="00764803" w:rsidRPr="000908E2" w:rsidRDefault="00764803" w:rsidP="00764803">
      <w:pPr>
        <w:pStyle w:val="Prrafodelista"/>
        <w:tabs>
          <w:tab w:val="left" w:pos="426"/>
        </w:tabs>
        <w:ind w:left="0"/>
        <w:rPr>
          <w:rFonts w:asciiTheme="minorHAnsi" w:hAnsiTheme="minorHAnsi"/>
          <w:sz w:val="20"/>
          <w:szCs w:val="20"/>
        </w:rPr>
      </w:pPr>
      <w:bookmarkStart w:id="23" w:name="_MON_1469526741"/>
      <w:bookmarkEnd w:id="23"/>
    </w:p>
    <w:p w:rsidR="00764803" w:rsidRPr="000908E2" w:rsidRDefault="00764803" w:rsidP="00764803">
      <w:pPr>
        <w:pStyle w:val="Prrafodelista"/>
        <w:numPr>
          <w:ilvl w:val="3"/>
          <w:numId w:val="24"/>
        </w:numPr>
        <w:tabs>
          <w:tab w:val="left" w:pos="0"/>
          <w:tab w:val="left" w:pos="284"/>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Pr="000908E2">
        <w:rPr>
          <w:rFonts w:asciiTheme="minorHAnsi" w:hAnsiTheme="minorHAnsi"/>
          <w:sz w:val="20"/>
          <w:szCs w:val="20"/>
        </w:rPr>
        <w:t>La cuenta de ingresos financieros acumula los rendimientos devengados por la inversión en Nacional Financiera así como las cuentas bancarias; del 1</w:t>
      </w:r>
      <w:r>
        <w:rPr>
          <w:rFonts w:asciiTheme="minorHAnsi" w:hAnsiTheme="minorHAnsi"/>
          <w:sz w:val="20"/>
          <w:szCs w:val="20"/>
        </w:rPr>
        <w:t xml:space="preserve"> de Enero al 31</w:t>
      </w:r>
      <w:r w:rsidRPr="000908E2">
        <w:rPr>
          <w:rFonts w:asciiTheme="minorHAnsi" w:hAnsiTheme="minorHAnsi"/>
          <w:sz w:val="20"/>
          <w:szCs w:val="20"/>
        </w:rPr>
        <w:t xml:space="preserve"> de </w:t>
      </w:r>
      <w:r w:rsidR="00433942">
        <w:rPr>
          <w:rFonts w:asciiTheme="minorHAnsi" w:hAnsiTheme="minorHAnsi"/>
          <w:sz w:val="20"/>
          <w:szCs w:val="20"/>
        </w:rPr>
        <w:t>Marzo</w:t>
      </w:r>
      <w:r w:rsidRPr="000908E2">
        <w:rPr>
          <w:rFonts w:asciiTheme="minorHAnsi" w:hAnsiTheme="minorHAnsi"/>
          <w:sz w:val="20"/>
          <w:szCs w:val="20"/>
        </w:rPr>
        <w:t xml:space="preserve"> </w:t>
      </w:r>
      <w:r>
        <w:rPr>
          <w:rFonts w:asciiTheme="minorHAnsi" w:hAnsiTheme="minorHAnsi"/>
          <w:sz w:val="20"/>
          <w:szCs w:val="20"/>
        </w:rPr>
        <w:t>de</w:t>
      </w:r>
      <w:r w:rsidRPr="000908E2">
        <w:rPr>
          <w:rFonts w:asciiTheme="minorHAnsi" w:hAnsiTheme="minorHAnsi"/>
          <w:sz w:val="20"/>
          <w:szCs w:val="20"/>
        </w:rPr>
        <w:t xml:space="preserve"> </w:t>
      </w:r>
      <w:r w:rsidR="00433942">
        <w:rPr>
          <w:rFonts w:asciiTheme="minorHAnsi" w:hAnsiTheme="minorHAnsi"/>
          <w:sz w:val="20"/>
          <w:szCs w:val="20"/>
        </w:rPr>
        <w:t>2017</w:t>
      </w:r>
      <w:r w:rsidRPr="000908E2">
        <w:rPr>
          <w:rFonts w:asciiTheme="minorHAnsi" w:hAnsiTheme="minorHAnsi"/>
          <w:sz w:val="20"/>
          <w:szCs w:val="20"/>
        </w:rPr>
        <w:t xml:space="preserve"> asciende a la cantidad de </w:t>
      </w:r>
      <w:r w:rsidR="00DA0E58">
        <w:rPr>
          <w:rFonts w:asciiTheme="minorHAnsi" w:hAnsiTheme="minorHAnsi"/>
          <w:sz w:val="20"/>
          <w:szCs w:val="20"/>
        </w:rPr>
        <w:t xml:space="preserve">           </w:t>
      </w:r>
      <w:r w:rsidR="00433942">
        <w:rPr>
          <w:rFonts w:asciiTheme="minorHAnsi" w:hAnsiTheme="minorHAnsi"/>
          <w:sz w:val="20"/>
          <w:szCs w:val="20"/>
        </w:rPr>
        <w:t xml:space="preserve">         </w:t>
      </w:r>
      <w:r w:rsidR="00DA0E58">
        <w:rPr>
          <w:rFonts w:asciiTheme="minorHAnsi" w:hAnsiTheme="minorHAnsi"/>
          <w:sz w:val="20"/>
          <w:szCs w:val="20"/>
        </w:rPr>
        <w:t xml:space="preserve"> </w:t>
      </w:r>
      <w:r w:rsidR="00433942">
        <w:rPr>
          <w:rFonts w:asciiTheme="minorHAnsi" w:hAnsiTheme="minorHAnsi"/>
          <w:sz w:val="20"/>
          <w:szCs w:val="20"/>
        </w:rPr>
        <w:t>$ 57,855</w:t>
      </w:r>
      <w:r w:rsidRPr="000908E2">
        <w:rPr>
          <w:rFonts w:asciiTheme="minorHAnsi" w:hAnsiTheme="minorHAnsi"/>
          <w:sz w:val="20"/>
          <w:szCs w:val="20"/>
        </w:rPr>
        <w:t>.00 y se integra de la siguiente manera:</w:t>
      </w:r>
    </w:p>
    <w:p w:rsidR="00764803" w:rsidRPr="000908E2" w:rsidRDefault="00764803" w:rsidP="00764803">
      <w:pPr>
        <w:pStyle w:val="Prrafodelista"/>
        <w:tabs>
          <w:tab w:val="left" w:pos="0"/>
          <w:tab w:val="left" w:pos="284"/>
        </w:tabs>
        <w:ind w:left="0"/>
        <w:jc w:val="both"/>
        <w:rPr>
          <w:rFonts w:asciiTheme="minorHAnsi" w:hAnsiTheme="minorHAnsi"/>
          <w:sz w:val="20"/>
          <w:szCs w:val="20"/>
        </w:rPr>
      </w:pPr>
    </w:p>
    <w:p w:rsidR="00764803" w:rsidRPr="000908E2" w:rsidRDefault="00764803" w:rsidP="00764803">
      <w:pPr>
        <w:pStyle w:val="Prrafodelista"/>
        <w:tabs>
          <w:tab w:val="left" w:pos="0"/>
          <w:tab w:val="left" w:pos="284"/>
        </w:tabs>
        <w:ind w:left="0"/>
        <w:jc w:val="both"/>
        <w:rPr>
          <w:rFonts w:asciiTheme="minorHAnsi" w:hAnsiTheme="minorHAnsi"/>
          <w:sz w:val="20"/>
          <w:szCs w:val="20"/>
        </w:rPr>
      </w:pPr>
    </w:p>
    <w:bookmarkStart w:id="24" w:name="_MON_1458652151"/>
    <w:bookmarkStart w:id="25" w:name="_MON_1458654013"/>
    <w:bookmarkEnd w:id="24"/>
    <w:bookmarkEnd w:id="25"/>
    <w:p w:rsidR="00764803" w:rsidRPr="000908E2" w:rsidRDefault="00433942" w:rsidP="00764803">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7145" w:dyaOrig="1585">
          <v:shape id="_x0000_i1046" type="#_x0000_t75" style="width:357pt;height:79.8pt" o:ole="">
            <v:imagedata r:id="rId61" o:title=""/>
          </v:shape>
          <o:OLEObject Type="Embed" ProgID="Excel.Sheet.8" ShapeID="_x0000_i1046" DrawAspect="Content" ObjectID="_1555199777" r:id="rId62"/>
        </w:object>
      </w:r>
    </w:p>
    <w:p w:rsidR="00764803" w:rsidRPr="000908E2" w:rsidRDefault="00764803" w:rsidP="00764803">
      <w:pPr>
        <w:pStyle w:val="Prrafodelista"/>
        <w:tabs>
          <w:tab w:val="left" w:pos="284"/>
        </w:tabs>
        <w:ind w:left="0"/>
        <w:rPr>
          <w:rFonts w:asciiTheme="minorHAnsi" w:hAnsiTheme="minorHAnsi" w:cs="Arial"/>
          <w:bCs/>
          <w:sz w:val="20"/>
          <w:szCs w:val="20"/>
        </w:rPr>
      </w:pPr>
    </w:p>
    <w:p w:rsidR="00764803" w:rsidRPr="000908E2" w:rsidRDefault="00764803" w:rsidP="00764803">
      <w:pPr>
        <w:pStyle w:val="Prrafodelista"/>
        <w:numPr>
          <w:ilvl w:val="0"/>
          <w:numId w:val="8"/>
        </w:numPr>
        <w:tabs>
          <w:tab w:val="left" w:pos="284"/>
        </w:tabs>
        <w:ind w:left="0" w:firstLine="0"/>
        <w:jc w:val="both"/>
        <w:rPr>
          <w:rFonts w:asciiTheme="minorHAnsi" w:hAnsiTheme="minorHAnsi" w:cs="Arial"/>
          <w:bCs/>
          <w:sz w:val="20"/>
          <w:szCs w:val="20"/>
        </w:rPr>
      </w:pPr>
      <w:r w:rsidRPr="000908E2">
        <w:rPr>
          <w:rFonts w:asciiTheme="minorHAnsi" w:hAnsiTheme="minorHAnsi"/>
          <w:sz w:val="20"/>
          <w:szCs w:val="20"/>
        </w:rPr>
        <w:t>La cuenta denominada Inversión Temporal Nacional Financiera, corresponde a la  inversión autorizada por el Comité Técnico del FIGAROSY, de acuerdo con lo establecido en la cláusula Décima Quinta del Contrato modificatorio de Fideicomiso signado con Nacional Financiera S.N.C., suscrito el 25 de Mayo de 2009.</w:t>
      </w:r>
    </w:p>
    <w:p w:rsidR="00764803" w:rsidRPr="000908E2" w:rsidRDefault="00764803" w:rsidP="00764803">
      <w:pPr>
        <w:pStyle w:val="Prrafodelista"/>
        <w:tabs>
          <w:tab w:val="left" w:pos="284"/>
        </w:tabs>
        <w:ind w:left="0"/>
        <w:rPr>
          <w:rFonts w:asciiTheme="minorHAnsi" w:hAnsiTheme="minorHAnsi" w:cs="Arial"/>
          <w:bCs/>
          <w:sz w:val="20"/>
          <w:szCs w:val="20"/>
        </w:rPr>
      </w:pP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610257195 Gasto Corriente, acumula el efectivo disponible para adquirir los bienes, materiales y servicios necesarios para el desarrollo propio de las funciones administrativas y de los proyectos artísticos del FIGAROSY. Se realizan pagos por compra de material de oficina, servicio de telefonía fija, contratación de artistas invitados, inserciones y spots publicitarios, entre otros.</w:t>
      </w:r>
    </w:p>
    <w:p w:rsidR="00764803" w:rsidRPr="000908E2" w:rsidRDefault="00764803" w:rsidP="00764803">
      <w:pPr>
        <w:rPr>
          <w:rFonts w:asciiTheme="minorHAnsi" w:hAnsiTheme="minorHAnsi"/>
          <w:sz w:val="20"/>
          <w:szCs w:val="20"/>
        </w:rPr>
      </w:pP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denominada Banorte No. 0610257186 Nómina, acumula el efectivo disponible para erogar los sueldos del personal adscrito al FIGAROSY.</w:t>
      </w:r>
    </w:p>
    <w:p w:rsidR="00764803" w:rsidRDefault="00764803" w:rsidP="00764803">
      <w:pPr>
        <w:pStyle w:val="Prrafodelista"/>
        <w:tabs>
          <w:tab w:val="left" w:pos="284"/>
        </w:tabs>
        <w:ind w:left="0"/>
        <w:rPr>
          <w:rFonts w:asciiTheme="minorHAnsi" w:hAnsiTheme="minorHAnsi"/>
          <w:sz w:val="20"/>
          <w:szCs w:val="20"/>
        </w:rPr>
      </w:pPr>
    </w:p>
    <w:p w:rsidR="00433942" w:rsidRDefault="00433942" w:rsidP="00764803">
      <w:pPr>
        <w:pStyle w:val="Prrafodelista"/>
        <w:tabs>
          <w:tab w:val="left" w:pos="284"/>
        </w:tabs>
        <w:ind w:left="0"/>
        <w:rPr>
          <w:rFonts w:asciiTheme="minorHAnsi" w:hAnsiTheme="minorHAnsi"/>
          <w:sz w:val="20"/>
          <w:szCs w:val="20"/>
        </w:rPr>
      </w:pPr>
    </w:p>
    <w:p w:rsidR="00DD1095" w:rsidRDefault="00DD1095" w:rsidP="00764803">
      <w:pPr>
        <w:pStyle w:val="Prrafodelista"/>
        <w:tabs>
          <w:tab w:val="left" w:pos="284"/>
        </w:tabs>
        <w:ind w:left="0"/>
        <w:rPr>
          <w:rFonts w:asciiTheme="minorHAnsi" w:hAnsiTheme="minorHAnsi"/>
          <w:sz w:val="20"/>
          <w:szCs w:val="20"/>
        </w:rPr>
      </w:pPr>
    </w:p>
    <w:p w:rsidR="00DD1095" w:rsidRPr="000908E2" w:rsidRDefault="00DD1095" w:rsidP="00764803">
      <w:pPr>
        <w:pStyle w:val="Prrafodelista"/>
        <w:tabs>
          <w:tab w:val="left" w:pos="284"/>
        </w:tabs>
        <w:ind w:left="0"/>
        <w:rPr>
          <w:rFonts w:asciiTheme="minorHAnsi" w:hAnsiTheme="minorHAnsi"/>
          <w:sz w:val="20"/>
          <w:szCs w:val="20"/>
        </w:rPr>
      </w:pPr>
    </w:p>
    <w:p w:rsidR="00764803" w:rsidRPr="000908E2" w:rsidRDefault="00764803" w:rsidP="00764803">
      <w:pPr>
        <w:pStyle w:val="Prrafodelista"/>
        <w:numPr>
          <w:ilvl w:val="3"/>
          <w:numId w:val="24"/>
        </w:numPr>
        <w:tabs>
          <w:tab w:val="left" w:pos="426"/>
          <w:tab w:val="left" w:pos="709"/>
        </w:tabs>
        <w:ind w:left="851" w:hanging="851"/>
        <w:jc w:val="both"/>
        <w:rPr>
          <w:rFonts w:asciiTheme="minorHAnsi" w:hAnsiTheme="minorHAnsi"/>
          <w:sz w:val="20"/>
          <w:szCs w:val="20"/>
        </w:rPr>
      </w:pPr>
      <w:r w:rsidRPr="000908E2">
        <w:rPr>
          <w:rFonts w:asciiTheme="minorHAnsi" w:hAnsiTheme="minorHAnsi"/>
          <w:sz w:val="20"/>
          <w:szCs w:val="20"/>
        </w:rPr>
        <w:t>La cuenta de otros ingresos y beneficios varios se integra de la siguiente manera:</w:t>
      </w:r>
    </w:p>
    <w:p w:rsidR="00764803" w:rsidRPr="000908E2" w:rsidRDefault="00764803" w:rsidP="00764803">
      <w:pPr>
        <w:pStyle w:val="Prrafodelista"/>
        <w:tabs>
          <w:tab w:val="left" w:pos="284"/>
        </w:tabs>
        <w:ind w:left="0"/>
        <w:rPr>
          <w:rFonts w:asciiTheme="minorHAnsi" w:hAnsiTheme="minorHAnsi"/>
          <w:sz w:val="20"/>
          <w:szCs w:val="20"/>
        </w:rPr>
      </w:pPr>
    </w:p>
    <w:bookmarkStart w:id="26" w:name="_MON_1458654094"/>
    <w:bookmarkStart w:id="27" w:name="_MON_1458654146"/>
    <w:bookmarkEnd w:id="26"/>
    <w:bookmarkEnd w:id="27"/>
    <w:p w:rsidR="00764803" w:rsidRPr="000908E2" w:rsidRDefault="00433942" w:rsidP="00764803">
      <w:pPr>
        <w:pStyle w:val="Prrafodelista"/>
        <w:tabs>
          <w:tab w:val="left" w:pos="284"/>
        </w:tabs>
        <w:ind w:left="0"/>
        <w:jc w:val="center"/>
        <w:rPr>
          <w:rFonts w:asciiTheme="minorHAnsi" w:hAnsiTheme="minorHAnsi" w:cs="Arial"/>
          <w:bCs/>
          <w:sz w:val="20"/>
          <w:szCs w:val="20"/>
        </w:rPr>
      </w:pPr>
      <w:r w:rsidRPr="000908E2">
        <w:rPr>
          <w:rFonts w:asciiTheme="minorHAnsi" w:hAnsiTheme="minorHAnsi" w:cs="Arial"/>
          <w:bCs/>
          <w:sz w:val="20"/>
          <w:szCs w:val="20"/>
        </w:rPr>
        <w:object w:dxaOrig="6520" w:dyaOrig="1537">
          <v:shape id="_x0000_i1047" type="#_x0000_t75" style="width:325.2pt;height:79.8pt" o:ole="">
            <v:imagedata r:id="rId63" o:title=""/>
          </v:shape>
          <o:OLEObject Type="Embed" ProgID="Excel.Sheet.8" ShapeID="_x0000_i1047" DrawAspect="Content" ObjectID="_1555199778" r:id="rId64"/>
        </w:object>
      </w:r>
    </w:p>
    <w:p w:rsidR="00764803" w:rsidRPr="000908E2" w:rsidRDefault="00764803" w:rsidP="00764803">
      <w:pPr>
        <w:pStyle w:val="Prrafodelista"/>
        <w:numPr>
          <w:ilvl w:val="0"/>
          <w:numId w:val="8"/>
        </w:numPr>
        <w:tabs>
          <w:tab w:val="left" w:pos="284"/>
        </w:tabs>
        <w:ind w:left="0" w:firstLine="0"/>
        <w:jc w:val="both"/>
        <w:rPr>
          <w:rFonts w:asciiTheme="minorHAnsi" w:hAnsiTheme="minorHAnsi"/>
          <w:sz w:val="20"/>
          <w:szCs w:val="20"/>
        </w:rPr>
      </w:pPr>
      <w:r w:rsidRPr="000908E2">
        <w:rPr>
          <w:rFonts w:asciiTheme="minorHAnsi" w:hAnsiTheme="minorHAnsi"/>
          <w:sz w:val="20"/>
          <w:szCs w:val="20"/>
        </w:rPr>
        <w:t>Conforme al convenio de colaboración en materia de cultura celebrado entre el Patronato para la Orquesta Sinfónica de Yucatán A.C. y el FIGAROSY, de fecha 2 de Enero de 201</w:t>
      </w:r>
      <w:r w:rsidR="00433942">
        <w:rPr>
          <w:rFonts w:asciiTheme="minorHAnsi" w:hAnsiTheme="minorHAnsi"/>
          <w:sz w:val="20"/>
          <w:szCs w:val="20"/>
        </w:rPr>
        <w:t>7</w:t>
      </w:r>
      <w:r w:rsidRPr="000908E2">
        <w:rPr>
          <w:rFonts w:asciiTheme="minorHAnsi" w:hAnsiTheme="minorHAnsi"/>
          <w:sz w:val="20"/>
          <w:szCs w:val="20"/>
        </w:rPr>
        <w:t>, se establece que el POSY aportará la cantidad de</w:t>
      </w:r>
      <w:r w:rsidR="00510166">
        <w:rPr>
          <w:rFonts w:asciiTheme="minorHAnsi" w:hAnsiTheme="minorHAnsi"/>
          <w:sz w:val="20"/>
          <w:szCs w:val="20"/>
        </w:rPr>
        <w:t xml:space="preserve"> </w:t>
      </w:r>
      <w:r w:rsidRPr="000908E2">
        <w:rPr>
          <w:rFonts w:asciiTheme="minorHAnsi" w:hAnsiTheme="minorHAnsi"/>
          <w:sz w:val="20"/>
          <w:szCs w:val="20"/>
        </w:rPr>
        <w:t>$ 4´000,000.00, a razón de $ 1´000,000.00 en los meses de Marzo, Junio,</w:t>
      </w:r>
      <w:r>
        <w:rPr>
          <w:rFonts w:asciiTheme="minorHAnsi" w:hAnsiTheme="minorHAnsi"/>
          <w:sz w:val="20"/>
          <w:szCs w:val="20"/>
        </w:rPr>
        <w:t xml:space="preserve"> Septiembre y Diciembr</w:t>
      </w:r>
      <w:r w:rsidR="00433942">
        <w:rPr>
          <w:rFonts w:asciiTheme="minorHAnsi" w:hAnsiTheme="minorHAnsi"/>
          <w:sz w:val="20"/>
          <w:szCs w:val="20"/>
        </w:rPr>
        <w:t>e  de 2017</w:t>
      </w:r>
      <w:r w:rsidRPr="000908E2">
        <w:rPr>
          <w:rFonts w:asciiTheme="minorHAnsi" w:hAnsiTheme="minorHAnsi"/>
          <w:sz w:val="20"/>
          <w:szCs w:val="20"/>
        </w:rPr>
        <w:t>.</w:t>
      </w:r>
    </w:p>
    <w:p w:rsidR="00764803" w:rsidRPr="000908E2" w:rsidRDefault="00764803" w:rsidP="00764803">
      <w:pPr>
        <w:pStyle w:val="Prrafodelista"/>
        <w:tabs>
          <w:tab w:val="left" w:pos="284"/>
        </w:tabs>
        <w:ind w:left="0"/>
        <w:rPr>
          <w:rFonts w:asciiTheme="minorHAnsi" w:hAnsiTheme="minorHAnsi"/>
          <w:sz w:val="20"/>
          <w:szCs w:val="20"/>
        </w:rPr>
      </w:pPr>
    </w:p>
    <w:p w:rsidR="00FD2E76" w:rsidRPr="000908E2" w:rsidRDefault="003C63A3" w:rsidP="00FD2E76">
      <w:pPr>
        <w:jc w:val="both"/>
        <w:rPr>
          <w:rFonts w:asciiTheme="minorHAnsi" w:hAnsiTheme="minorHAnsi"/>
          <w:sz w:val="20"/>
          <w:szCs w:val="20"/>
        </w:rPr>
      </w:pPr>
      <w:r w:rsidRPr="000908E2">
        <w:rPr>
          <w:rFonts w:asciiTheme="minorHAnsi" w:hAnsiTheme="minorHAnsi"/>
          <w:sz w:val="20"/>
          <w:szCs w:val="20"/>
        </w:rPr>
        <w:t>El Patronat</w:t>
      </w:r>
      <w:r>
        <w:rPr>
          <w:rFonts w:asciiTheme="minorHAnsi" w:hAnsiTheme="minorHAnsi"/>
          <w:sz w:val="20"/>
          <w:szCs w:val="20"/>
        </w:rPr>
        <w:t xml:space="preserve">o ha aportado la cantidad de $ </w:t>
      </w:r>
      <w:r w:rsidR="00433942">
        <w:rPr>
          <w:rFonts w:asciiTheme="minorHAnsi" w:hAnsiTheme="minorHAnsi"/>
          <w:sz w:val="20"/>
          <w:szCs w:val="20"/>
        </w:rPr>
        <w:t>979,981</w:t>
      </w:r>
      <w:r w:rsidRPr="000908E2">
        <w:rPr>
          <w:rFonts w:asciiTheme="minorHAnsi" w:hAnsiTheme="minorHAnsi"/>
          <w:sz w:val="20"/>
          <w:szCs w:val="20"/>
        </w:rPr>
        <w:t xml:space="preserve">.00 en efectivo  </w:t>
      </w:r>
      <w:r>
        <w:rPr>
          <w:rFonts w:asciiTheme="minorHAnsi" w:hAnsiTheme="minorHAnsi"/>
          <w:sz w:val="20"/>
          <w:szCs w:val="20"/>
        </w:rPr>
        <w:t>por el período del 1 Enero al 31</w:t>
      </w:r>
      <w:r w:rsidRPr="000908E2">
        <w:rPr>
          <w:rFonts w:asciiTheme="minorHAnsi" w:hAnsiTheme="minorHAnsi"/>
          <w:sz w:val="20"/>
          <w:szCs w:val="20"/>
        </w:rPr>
        <w:t xml:space="preserve"> de </w:t>
      </w:r>
      <w:r w:rsidR="00433942">
        <w:rPr>
          <w:rFonts w:asciiTheme="minorHAnsi" w:hAnsiTheme="minorHAnsi"/>
          <w:sz w:val="20"/>
          <w:szCs w:val="20"/>
        </w:rPr>
        <w:t>Marzo</w:t>
      </w:r>
      <w:r w:rsidRPr="000908E2">
        <w:rPr>
          <w:rFonts w:asciiTheme="minorHAnsi" w:hAnsiTheme="minorHAnsi"/>
          <w:sz w:val="20"/>
          <w:szCs w:val="20"/>
        </w:rPr>
        <w:t xml:space="preserve"> de 201</w:t>
      </w:r>
      <w:r w:rsidR="00433942">
        <w:rPr>
          <w:rFonts w:asciiTheme="minorHAnsi" w:hAnsiTheme="minorHAnsi"/>
          <w:sz w:val="20"/>
          <w:szCs w:val="20"/>
        </w:rPr>
        <w:t>7</w:t>
      </w:r>
      <w:r w:rsidRPr="000908E2">
        <w:rPr>
          <w:rFonts w:asciiTheme="minorHAnsi" w:hAnsiTheme="minorHAnsi"/>
          <w:sz w:val="20"/>
          <w:szCs w:val="20"/>
        </w:rPr>
        <w:t xml:space="preserve">, </w:t>
      </w:r>
      <w:r w:rsidRPr="000C6B7E">
        <w:rPr>
          <w:rFonts w:asciiTheme="minorHAnsi" w:hAnsiTheme="minorHAnsi"/>
          <w:sz w:val="20"/>
          <w:szCs w:val="20"/>
        </w:rPr>
        <w:t>y realizó pagos a cuenta del Fideicomiso por la cantidad de $</w:t>
      </w:r>
      <w:r w:rsidR="00FD2E76">
        <w:rPr>
          <w:rFonts w:asciiTheme="minorHAnsi" w:hAnsiTheme="minorHAnsi"/>
          <w:sz w:val="20"/>
          <w:szCs w:val="20"/>
        </w:rPr>
        <w:t>20,019</w:t>
      </w:r>
      <w:r>
        <w:rPr>
          <w:rFonts w:asciiTheme="minorHAnsi" w:hAnsiTheme="minorHAnsi"/>
          <w:sz w:val="20"/>
          <w:szCs w:val="20"/>
        </w:rPr>
        <w:t>.00</w:t>
      </w:r>
      <w:r w:rsidR="00380947">
        <w:rPr>
          <w:rFonts w:asciiTheme="minorHAnsi" w:hAnsiTheme="minorHAnsi"/>
          <w:sz w:val="20"/>
          <w:szCs w:val="20"/>
        </w:rPr>
        <w:t>, por</w:t>
      </w:r>
      <w:r w:rsidR="004C64BF">
        <w:rPr>
          <w:rFonts w:asciiTheme="minorHAnsi" w:hAnsiTheme="minorHAnsi"/>
          <w:sz w:val="20"/>
          <w:szCs w:val="20"/>
        </w:rPr>
        <w:t xml:space="preserve"> concepto de anticipo por</w:t>
      </w:r>
      <w:r w:rsidR="00380947" w:rsidRPr="000C6B7E">
        <w:rPr>
          <w:rFonts w:asciiTheme="minorHAnsi" w:hAnsiTheme="minorHAnsi"/>
          <w:sz w:val="20"/>
          <w:szCs w:val="20"/>
        </w:rPr>
        <w:t xml:space="preserve"> </w:t>
      </w:r>
      <w:r w:rsidR="00380947">
        <w:rPr>
          <w:rFonts w:asciiTheme="minorHAnsi" w:hAnsiTheme="minorHAnsi"/>
          <w:sz w:val="20"/>
          <w:szCs w:val="20"/>
        </w:rPr>
        <w:t>servicio de e</w:t>
      </w:r>
      <w:r w:rsidR="00FD2E76">
        <w:rPr>
          <w:rFonts w:asciiTheme="minorHAnsi" w:hAnsiTheme="minorHAnsi"/>
          <w:sz w:val="20"/>
          <w:szCs w:val="20"/>
        </w:rPr>
        <w:t>laboración de manual contable del Fideicomiso</w:t>
      </w:r>
      <w:r w:rsidRPr="000C6B7E">
        <w:rPr>
          <w:rFonts w:asciiTheme="minorHAnsi" w:hAnsiTheme="minorHAnsi"/>
          <w:sz w:val="20"/>
          <w:szCs w:val="20"/>
        </w:rPr>
        <w:t xml:space="preserve">. El total aportado por el Patronato del 1 de Enero al 31 de </w:t>
      </w:r>
      <w:r w:rsidR="00FD2E76">
        <w:rPr>
          <w:rFonts w:asciiTheme="minorHAnsi" w:hAnsiTheme="minorHAnsi"/>
          <w:sz w:val="20"/>
          <w:szCs w:val="20"/>
        </w:rPr>
        <w:t>Marzo de 2016</w:t>
      </w:r>
      <w:r w:rsidRPr="000C6B7E">
        <w:rPr>
          <w:rFonts w:asciiTheme="minorHAnsi" w:hAnsiTheme="minorHAnsi"/>
          <w:sz w:val="20"/>
          <w:szCs w:val="20"/>
        </w:rPr>
        <w:t xml:space="preserve"> asciende a la cantidad de $ </w:t>
      </w:r>
      <w:r w:rsidR="00FD2E76">
        <w:rPr>
          <w:rFonts w:asciiTheme="minorHAnsi" w:hAnsiTheme="minorHAnsi"/>
          <w:sz w:val="20"/>
          <w:szCs w:val="20"/>
        </w:rPr>
        <w:t>1</w:t>
      </w:r>
      <w:r>
        <w:rPr>
          <w:rFonts w:asciiTheme="minorHAnsi" w:hAnsiTheme="minorHAnsi"/>
          <w:sz w:val="20"/>
          <w:szCs w:val="20"/>
        </w:rPr>
        <w:t>´000,000</w:t>
      </w:r>
      <w:r w:rsidR="00FD2E76">
        <w:rPr>
          <w:rFonts w:asciiTheme="minorHAnsi" w:hAnsiTheme="minorHAnsi"/>
          <w:sz w:val="20"/>
          <w:szCs w:val="20"/>
        </w:rPr>
        <w:t xml:space="preserve">.00, </w:t>
      </w:r>
      <w:r w:rsidR="00FD2E76" w:rsidRPr="000908E2">
        <w:rPr>
          <w:rFonts w:asciiTheme="minorHAnsi" w:hAnsiTheme="minorHAnsi"/>
          <w:sz w:val="20"/>
          <w:szCs w:val="20"/>
        </w:rPr>
        <w:t xml:space="preserve">quedando pendiente de transferir $ </w:t>
      </w:r>
      <w:r w:rsidR="00FD2E76">
        <w:rPr>
          <w:rFonts w:asciiTheme="minorHAnsi" w:hAnsiTheme="minorHAnsi"/>
          <w:sz w:val="20"/>
          <w:szCs w:val="20"/>
        </w:rPr>
        <w:t>3´000,000.00.</w:t>
      </w:r>
    </w:p>
    <w:p w:rsidR="003C63A3" w:rsidRPr="000B52D8" w:rsidRDefault="003C63A3" w:rsidP="000B52D8">
      <w:pPr>
        <w:jc w:val="both"/>
        <w:rPr>
          <w:rFonts w:asciiTheme="minorHAnsi" w:hAnsiTheme="minorHAnsi"/>
          <w:sz w:val="20"/>
          <w:szCs w:val="20"/>
        </w:rPr>
      </w:pPr>
      <w:r>
        <w:rPr>
          <w:rFonts w:asciiTheme="minorHAnsi" w:hAnsiTheme="minorHAnsi"/>
          <w:sz w:val="20"/>
          <w:szCs w:val="20"/>
        </w:rPr>
        <w:t xml:space="preserve"> </w:t>
      </w:r>
    </w:p>
    <w:p w:rsidR="00764803" w:rsidRPr="000908E2" w:rsidRDefault="00764803" w:rsidP="00764803">
      <w:pPr>
        <w:pStyle w:val="Prrafodelista"/>
        <w:tabs>
          <w:tab w:val="left" w:pos="284"/>
        </w:tabs>
        <w:ind w:left="0"/>
        <w:jc w:val="both"/>
        <w:rPr>
          <w:rFonts w:asciiTheme="minorHAnsi" w:hAnsiTheme="minorHAnsi"/>
          <w:sz w:val="20"/>
          <w:szCs w:val="20"/>
        </w:rPr>
      </w:pPr>
      <w:r w:rsidRPr="000908E2">
        <w:rPr>
          <w:rFonts w:asciiTheme="minorHAnsi" w:hAnsiTheme="minorHAnsi"/>
          <w:b/>
          <w:sz w:val="20"/>
          <w:szCs w:val="20"/>
        </w:rPr>
        <w:t>2.1.2</w:t>
      </w:r>
      <w:r w:rsidRPr="000908E2">
        <w:rPr>
          <w:rFonts w:asciiTheme="minorHAnsi" w:hAnsiTheme="minorHAnsi"/>
          <w:sz w:val="20"/>
          <w:szCs w:val="20"/>
        </w:rPr>
        <w:t xml:space="preserve"> El rubro de Transferencias, asignaciones, subsidios y otras ayudas, acumula las ministraciones que trasfiere el Gobierno del Estado de Yucatán al FIGAROS</w:t>
      </w:r>
      <w:r>
        <w:rPr>
          <w:rFonts w:asciiTheme="minorHAnsi" w:hAnsiTheme="minorHAnsi"/>
          <w:sz w:val="20"/>
          <w:szCs w:val="20"/>
        </w:rPr>
        <w:t>Y</w:t>
      </w:r>
      <w:r w:rsidR="008953D1">
        <w:rPr>
          <w:rFonts w:asciiTheme="minorHAnsi" w:hAnsiTheme="minorHAnsi"/>
          <w:sz w:val="20"/>
          <w:szCs w:val="20"/>
        </w:rPr>
        <w:t>, conforme al oficio No. SAF/0084</w:t>
      </w:r>
      <w:r w:rsidRPr="000908E2">
        <w:rPr>
          <w:rFonts w:asciiTheme="minorHAnsi" w:hAnsiTheme="minorHAnsi"/>
          <w:sz w:val="20"/>
          <w:szCs w:val="20"/>
        </w:rPr>
        <w:t>/2</w:t>
      </w:r>
      <w:r w:rsidR="008953D1">
        <w:rPr>
          <w:rFonts w:asciiTheme="minorHAnsi" w:hAnsiTheme="minorHAnsi"/>
          <w:sz w:val="20"/>
          <w:szCs w:val="20"/>
        </w:rPr>
        <w:t>017</w:t>
      </w:r>
      <w:r w:rsidRPr="000908E2">
        <w:rPr>
          <w:rFonts w:asciiTheme="minorHAnsi" w:hAnsiTheme="minorHAnsi"/>
          <w:sz w:val="20"/>
          <w:szCs w:val="20"/>
        </w:rPr>
        <w:t xml:space="preserve"> de fecha </w:t>
      </w:r>
      <w:r w:rsidR="008953D1">
        <w:rPr>
          <w:rFonts w:asciiTheme="minorHAnsi" w:hAnsiTheme="minorHAnsi"/>
          <w:sz w:val="20"/>
          <w:szCs w:val="20"/>
        </w:rPr>
        <w:t>6</w:t>
      </w:r>
      <w:r>
        <w:rPr>
          <w:rFonts w:asciiTheme="minorHAnsi" w:hAnsiTheme="minorHAnsi"/>
          <w:sz w:val="20"/>
          <w:szCs w:val="20"/>
        </w:rPr>
        <w:t xml:space="preserve"> de Enero </w:t>
      </w:r>
      <w:r w:rsidR="008953D1">
        <w:rPr>
          <w:rFonts w:asciiTheme="minorHAnsi" w:hAnsiTheme="minorHAnsi"/>
          <w:sz w:val="20"/>
          <w:szCs w:val="20"/>
        </w:rPr>
        <w:t>de 2017</w:t>
      </w:r>
      <w:r w:rsidRPr="000908E2">
        <w:rPr>
          <w:rFonts w:asciiTheme="minorHAnsi" w:hAnsiTheme="minorHAnsi"/>
          <w:sz w:val="20"/>
          <w:szCs w:val="20"/>
        </w:rPr>
        <w:t>, suscrito por el Secretario de Administración y Finanzas, por el cual s</w:t>
      </w:r>
      <w:r w:rsidR="008953D1">
        <w:rPr>
          <w:rFonts w:asciiTheme="minorHAnsi" w:hAnsiTheme="minorHAnsi"/>
          <w:sz w:val="20"/>
          <w:szCs w:val="20"/>
        </w:rPr>
        <w:t>e autorizó la cantidad de $ 30</w:t>
      </w:r>
      <w:r>
        <w:rPr>
          <w:rFonts w:asciiTheme="minorHAnsi" w:hAnsiTheme="minorHAnsi"/>
          <w:sz w:val="20"/>
          <w:szCs w:val="20"/>
        </w:rPr>
        <w:t>´</w:t>
      </w:r>
      <w:r w:rsidR="008953D1">
        <w:rPr>
          <w:rFonts w:asciiTheme="minorHAnsi" w:hAnsiTheme="minorHAnsi"/>
          <w:sz w:val="20"/>
          <w:szCs w:val="20"/>
        </w:rPr>
        <w:t>784,922</w:t>
      </w:r>
      <w:r w:rsidRPr="000908E2">
        <w:rPr>
          <w:rFonts w:asciiTheme="minorHAnsi" w:hAnsiTheme="minorHAnsi"/>
          <w:sz w:val="20"/>
          <w:szCs w:val="20"/>
        </w:rPr>
        <w:t>.00, para</w:t>
      </w:r>
      <w:r w:rsidR="008953D1">
        <w:rPr>
          <w:rFonts w:asciiTheme="minorHAnsi" w:hAnsiTheme="minorHAnsi"/>
          <w:sz w:val="20"/>
          <w:szCs w:val="20"/>
        </w:rPr>
        <w:t xml:space="preserve"> el ejercicio 2017</w:t>
      </w:r>
      <w:r w:rsidRPr="000908E2">
        <w:rPr>
          <w:rFonts w:asciiTheme="minorHAnsi" w:hAnsiTheme="minorHAnsi"/>
          <w:sz w:val="20"/>
          <w:szCs w:val="20"/>
        </w:rPr>
        <w:t>.</w:t>
      </w:r>
    </w:p>
    <w:p w:rsidR="00764803" w:rsidRPr="000908E2" w:rsidRDefault="00764803" w:rsidP="00764803">
      <w:pPr>
        <w:rPr>
          <w:rFonts w:asciiTheme="minorHAnsi" w:hAnsiTheme="minorHAnsi"/>
          <w:sz w:val="20"/>
          <w:szCs w:val="20"/>
        </w:rPr>
      </w:pPr>
    </w:p>
    <w:p w:rsidR="00764803" w:rsidRPr="000908E2" w:rsidRDefault="00764803" w:rsidP="00764803">
      <w:pPr>
        <w:pStyle w:val="Textoindependiente"/>
        <w:tabs>
          <w:tab w:val="left" w:pos="426"/>
        </w:tabs>
        <w:rPr>
          <w:rFonts w:asciiTheme="minorHAnsi" w:hAnsiTheme="minorHAnsi"/>
          <w:sz w:val="20"/>
          <w:szCs w:val="20"/>
        </w:rPr>
      </w:pPr>
      <w:r w:rsidRPr="000908E2">
        <w:rPr>
          <w:rFonts w:asciiTheme="minorHAnsi" w:hAnsiTheme="minorHAnsi"/>
          <w:sz w:val="20"/>
          <w:szCs w:val="20"/>
        </w:rPr>
        <w:t xml:space="preserve">La Dirección de Tesorería General de la Secretaría de Administración y Finanzas ha transferido al Fideicomiso la cantidad de $ </w:t>
      </w:r>
      <w:r w:rsidR="008953D1">
        <w:rPr>
          <w:rFonts w:asciiTheme="minorHAnsi" w:hAnsiTheme="minorHAnsi"/>
          <w:sz w:val="20"/>
          <w:szCs w:val="20"/>
        </w:rPr>
        <w:t>7´637,012</w:t>
      </w:r>
      <w:r w:rsidRPr="000908E2">
        <w:rPr>
          <w:rFonts w:asciiTheme="minorHAnsi" w:hAnsiTheme="minorHAnsi"/>
          <w:sz w:val="20"/>
          <w:szCs w:val="20"/>
        </w:rPr>
        <w:t xml:space="preserve">.00 por el período del 1 </w:t>
      </w:r>
      <w:r>
        <w:rPr>
          <w:rFonts w:asciiTheme="minorHAnsi" w:hAnsiTheme="minorHAnsi"/>
          <w:sz w:val="20"/>
          <w:szCs w:val="20"/>
        </w:rPr>
        <w:t xml:space="preserve">de Enero al 31 </w:t>
      </w:r>
      <w:r w:rsidRPr="000908E2">
        <w:rPr>
          <w:rFonts w:asciiTheme="minorHAnsi" w:hAnsiTheme="minorHAnsi"/>
          <w:sz w:val="20"/>
          <w:szCs w:val="20"/>
        </w:rPr>
        <w:t xml:space="preserve">de </w:t>
      </w:r>
      <w:r w:rsidR="008953D1">
        <w:rPr>
          <w:rFonts w:asciiTheme="minorHAnsi" w:hAnsiTheme="minorHAnsi"/>
          <w:sz w:val="20"/>
          <w:szCs w:val="20"/>
        </w:rPr>
        <w:t>Marzo</w:t>
      </w:r>
      <w:r w:rsidRPr="000908E2">
        <w:rPr>
          <w:rFonts w:asciiTheme="minorHAnsi" w:hAnsiTheme="minorHAnsi"/>
          <w:sz w:val="20"/>
          <w:szCs w:val="20"/>
        </w:rPr>
        <w:t xml:space="preserve"> de 201</w:t>
      </w:r>
      <w:r w:rsidR="008953D1">
        <w:rPr>
          <w:rFonts w:asciiTheme="minorHAnsi" w:hAnsiTheme="minorHAnsi"/>
          <w:sz w:val="20"/>
          <w:szCs w:val="20"/>
        </w:rPr>
        <w:t>7, quedando pendie</w:t>
      </w:r>
      <w:r w:rsidR="00195FA8">
        <w:rPr>
          <w:rFonts w:asciiTheme="minorHAnsi" w:hAnsiTheme="minorHAnsi"/>
          <w:sz w:val="20"/>
          <w:szCs w:val="20"/>
        </w:rPr>
        <w:t>nte de transferir $ 23´</w:t>
      </w:r>
      <w:r w:rsidR="008953D1">
        <w:rPr>
          <w:rFonts w:asciiTheme="minorHAnsi" w:hAnsiTheme="minorHAnsi"/>
          <w:sz w:val="20"/>
          <w:szCs w:val="20"/>
        </w:rPr>
        <w:t>147,910.00</w:t>
      </w:r>
      <w:r w:rsidR="00656464">
        <w:rPr>
          <w:rFonts w:asciiTheme="minorHAnsi" w:hAnsiTheme="minorHAnsi"/>
          <w:sz w:val="20"/>
          <w:szCs w:val="20"/>
        </w:rPr>
        <w:t>.</w:t>
      </w:r>
    </w:p>
    <w:p w:rsidR="00764803" w:rsidRPr="000908E2" w:rsidRDefault="00764803" w:rsidP="00764803">
      <w:pPr>
        <w:tabs>
          <w:tab w:val="left" w:pos="426"/>
        </w:tabs>
        <w:rPr>
          <w:rFonts w:asciiTheme="minorHAnsi" w:hAnsiTheme="minorHAnsi"/>
          <w:b/>
          <w:sz w:val="20"/>
          <w:szCs w:val="20"/>
        </w:rPr>
      </w:pPr>
    </w:p>
    <w:p w:rsidR="00764803" w:rsidRPr="000908E2" w:rsidRDefault="00764803" w:rsidP="00764803">
      <w:pPr>
        <w:pStyle w:val="Prrafodelista"/>
        <w:numPr>
          <w:ilvl w:val="1"/>
          <w:numId w:val="24"/>
        </w:numPr>
        <w:tabs>
          <w:tab w:val="left" w:pos="426"/>
        </w:tabs>
        <w:rPr>
          <w:rFonts w:asciiTheme="minorHAnsi" w:hAnsiTheme="minorHAnsi"/>
          <w:b/>
          <w:sz w:val="20"/>
          <w:szCs w:val="20"/>
        </w:rPr>
      </w:pPr>
      <w:r w:rsidRPr="000908E2">
        <w:rPr>
          <w:rFonts w:asciiTheme="minorHAnsi" w:hAnsiTheme="minorHAnsi"/>
          <w:b/>
          <w:sz w:val="20"/>
          <w:szCs w:val="20"/>
        </w:rPr>
        <w:t>Gastos y Otras Pérdidas.</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b/>
          <w:sz w:val="20"/>
          <w:szCs w:val="20"/>
        </w:rPr>
        <w:t>2.2.1</w:t>
      </w:r>
      <w:r w:rsidRPr="000908E2">
        <w:rPr>
          <w:rFonts w:asciiTheme="minorHAnsi" w:hAnsiTheme="minorHAnsi"/>
          <w:sz w:val="20"/>
          <w:szCs w:val="20"/>
        </w:rPr>
        <w:t xml:space="preserve"> </w:t>
      </w:r>
      <w:r>
        <w:rPr>
          <w:rFonts w:asciiTheme="minorHAnsi" w:hAnsiTheme="minorHAnsi"/>
          <w:sz w:val="20"/>
          <w:szCs w:val="20"/>
        </w:rPr>
        <w:t xml:space="preserve">El gasto erogado en las Presentaciones de la Orquesta Sinfónica de Yucatán por el período del 1 de Enero al 31 de </w:t>
      </w:r>
      <w:r w:rsidR="008953D1">
        <w:rPr>
          <w:rFonts w:asciiTheme="minorHAnsi" w:hAnsiTheme="minorHAnsi"/>
          <w:sz w:val="20"/>
          <w:szCs w:val="20"/>
        </w:rPr>
        <w:t>Marzo de 2017</w:t>
      </w:r>
      <w:r>
        <w:rPr>
          <w:rFonts w:asciiTheme="minorHAnsi" w:hAnsiTheme="minorHAnsi"/>
          <w:sz w:val="20"/>
          <w:szCs w:val="20"/>
        </w:rPr>
        <w:t xml:space="preserve">, </w:t>
      </w:r>
      <w:r w:rsidRPr="000908E2">
        <w:rPr>
          <w:rFonts w:asciiTheme="minorHAnsi" w:hAnsiTheme="minorHAnsi"/>
          <w:sz w:val="20"/>
          <w:szCs w:val="20"/>
        </w:rPr>
        <w:t>se integra de la siguiente manera:</w:t>
      </w:r>
    </w:p>
    <w:p w:rsidR="00764803" w:rsidRPr="000908E2" w:rsidRDefault="00764803" w:rsidP="00764803">
      <w:pPr>
        <w:pStyle w:val="Prrafodelista"/>
        <w:tabs>
          <w:tab w:val="left" w:pos="2040"/>
        </w:tabs>
        <w:ind w:left="0"/>
        <w:rPr>
          <w:rFonts w:asciiTheme="minorHAnsi" w:hAnsiTheme="minorHAnsi"/>
          <w:sz w:val="20"/>
          <w:szCs w:val="20"/>
        </w:rPr>
      </w:pPr>
      <w:r w:rsidRPr="000908E2">
        <w:rPr>
          <w:rFonts w:asciiTheme="minorHAnsi" w:hAnsiTheme="minorHAnsi"/>
          <w:sz w:val="20"/>
          <w:szCs w:val="20"/>
        </w:rPr>
        <w:tab/>
      </w:r>
    </w:p>
    <w:bookmarkStart w:id="28" w:name="_MON_1458654222"/>
    <w:bookmarkEnd w:id="28"/>
    <w:p w:rsidR="00764803" w:rsidRPr="000908E2" w:rsidRDefault="00D95113" w:rsidP="00764803">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642" w:dyaOrig="1071">
          <v:shape id="_x0000_i1048" type="#_x0000_t75" style="width:333pt;height:53.4pt" o:ole="">
            <v:imagedata r:id="rId65" o:title=""/>
          </v:shape>
          <o:OLEObject Type="Embed" ProgID="Excel.Sheet.8" ShapeID="_x0000_i1048" DrawAspect="Content" ObjectID="_1555199779" r:id="rId66"/>
        </w:object>
      </w:r>
    </w:p>
    <w:p w:rsidR="00764803" w:rsidRPr="000908E2" w:rsidRDefault="00764803" w:rsidP="00764803">
      <w:pPr>
        <w:pStyle w:val="Prrafodelista"/>
        <w:tabs>
          <w:tab w:val="left" w:pos="426"/>
        </w:tabs>
        <w:ind w:left="0"/>
        <w:jc w:val="center"/>
        <w:rPr>
          <w:rFonts w:asciiTheme="minorHAnsi" w:hAnsiTheme="minorHAnsi" w:cs="Arial"/>
          <w:bCs/>
          <w:sz w:val="20"/>
          <w:szCs w:val="20"/>
        </w:rPr>
      </w:pPr>
    </w:p>
    <w:p w:rsidR="00764803" w:rsidRPr="000908E2" w:rsidRDefault="00764803" w:rsidP="00764803">
      <w:pPr>
        <w:pStyle w:val="Prrafodelista"/>
        <w:numPr>
          <w:ilvl w:val="0"/>
          <w:numId w:val="9"/>
        </w:numPr>
        <w:tabs>
          <w:tab w:val="left" w:pos="284"/>
          <w:tab w:val="left" w:pos="426"/>
        </w:tabs>
        <w:ind w:left="0" w:firstLine="0"/>
        <w:jc w:val="both"/>
        <w:rPr>
          <w:rFonts w:asciiTheme="minorHAnsi" w:hAnsiTheme="minorHAnsi"/>
          <w:b/>
          <w:sz w:val="20"/>
          <w:szCs w:val="20"/>
        </w:rPr>
      </w:pPr>
      <w:r w:rsidRPr="000908E2">
        <w:rPr>
          <w:rFonts w:asciiTheme="minorHAnsi" w:hAnsiTheme="minorHAnsi"/>
          <w:sz w:val="20"/>
          <w:szCs w:val="20"/>
        </w:rPr>
        <w:t>La cuenta de realización de eventos artísticos de la Orquesta Sinfónica de Yucatán, acumula los gastos por honorarios, pasajes aéreos, transporte terrestre, hospedaje y viáticos de los directores invitados, solistas, músicos extras y artistas invitados en general por la Orquesta Sinfónica de Yucatán para participar en los conciertos p</w:t>
      </w:r>
      <w:r>
        <w:rPr>
          <w:rFonts w:asciiTheme="minorHAnsi" w:hAnsiTheme="minorHAnsi"/>
          <w:sz w:val="20"/>
          <w:szCs w:val="20"/>
        </w:rPr>
        <w:t>rogramados en las Temporadas XXV</w:t>
      </w:r>
      <w:r w:rsidRPr="000908E2">
        <w:rPr>
          <w:rFonts w:asciiTheme="minorHAnsi" w:hAnsiTheme="minorHAnsi"/>
          <w:sz w:val="20"/>
          <w:szCs w:val="20"/>
        </w:rPr>
        <w:t xml:space="preserve"> Enero-Junio del ejercicio 201</w:t>
      </w:r>
      <w:r>
        <w:rPr>
          <w:rFonts w:asciiTheme="minorHAnsi" w:hAnsiTheme="minorHAnsi"/>
          <w:sz w:val="20"/>
          <w:szCs w:val="20"/>
        </w:rPr>
        <w:t>6</w:t>
      </w:r>
      <w:r w:rsidRPr="000908E2">
        <w:rPr>
          <w:rFonts w:asciiTheme="minorHAnsi" w:hAnsiTheme="minorHAnsi"/>
          <w:sz w:val="20"/>
          <w:szCs w:val="20"/>
        </w:rPr>
        <w:t>.</w:t>
      </w:r>
    </w:p>
    <w:p w:rsidR="00764803" w:rsidRPr="000908E2" w:rsidRDefault="00764803" w:rsidP="00764803">
      <w:pPr>
        <w:pStyle w:val="Prrafodelista"/>
        <w:tabs>
          <w:tab w:val="left" w:pos="284"/>
          <w:tab w:val="left" w:pos="426"/>
        </w:tabs>
        <w:ind w:left="0"/>
        <w:jc w:val="both"/>
        <w:rPr>
          <w:rFonts w:asciiTheme="minorHAnsi" w:hAnsiTheme="minorHAnsi"/>
          <w:b/>
          <w:sz w:val="20"/>
          <w:szCs w:val="20"/>
        </w:rPr>
      </w:pPr>
    </w:p>
    <w:p w:rsidR="00764803" w:rsidRPr="000908E2" w:rsidRDefault="00764803" w:rsidP="00764803">
      <w:pPr>
        <w:pStyle w:val="Prrafodelista"/>
        <w:numPr>
          <w:ilvl w:val="0"/>
          <w:numId w:val="9"/>
        </w:numPr>
        <w:tabs>
          <w:tab w:val="left" w:pos="284"/>
          <w:tab w:val="left" w:pos="426"/>
        </w:tabs>
        <w:ind w:left="0" w:firstLine="0"/>
        <w:jc w:val="both"/>
        <w:rPr>
          <w:rFonts w:asciiTheme="minorHAnsi" w:hAnsiTheme="minorHAnsi"/>
          <w:sz w:val="20"/>
          <w:szCs w:val="20"/>
        </w:rPr>
      </w:pPr>
      <w:r w:rsidRPr="000908E2">
        <w:rPr>
          <w:rFonts w:asciiTheme="minorHAnsi" w:hAnsiTheme="minorHAnsi"/>
          <w:sz w:val="20"/>
          <w:szCs w:val="20"/>
        </w:rPr>
        <w:t>La cuenta de difusión de eventos de la Orquesta Sinfónica de Yucatán, registra los gastos necesarios para promocionar los diferentes conciertos, ópera, gala de ballet, presentaciones especiales y en general, en periódicos, revistas, espectaculares, pautas de radio, impresión de programas de mano de los conciertos y cuadernillos</w:t>
      </w:r>
      <w:r>
        <w:rPr>
          <w:rFonts w:asciiTheme="minorHAnsi" w:hAnsiTheme="minorHAnsi"/>
          <w:sz w:val="20"/>
          <w:szCs w:val="20"/>
        </w:rPr>
        <w:t xml:space="preserve"> generales de las Temporadas XXV</w:t>
      </w:r>
      <w:r w:rsidRPr="000908E2">
        <w:rPr>
          <w:rFonts w:asciiTheme="minorHAnsi" w:hAnsiTheme="minorHAnsi"/>
          <w:sz w:val="20"/>
          <w:szCs w:val="20"/>
        </w:rPr>
        <w:t xml:space="preserve"> Enero-Junio del ejercicio 201</w:t>
      </w:r>
      <w:r>
        <w:rPr>
          <w:rFonts w:asciiTheme="minorHAnsi" w:hAnsiTheme="minorHAnsi"/>
          <w:sz w:val="20"/>
          <w:szCs w:val="20"/>
        </w:rPr>
        <w:t>6</w:t>
      </w:r>
      <w:r w:rsidRPr="000908E2">
        <w:rPr>
          <w:rFonts w:asciiTheme="minorHAnsi" w:hAnsiTheme="minorHAnsi"/>
          <w:sz w:val="20"/>
          <w:szCs w:val="20"/>
        </w:rPr>
        <w:t>. Estas erogaciones se efectúan con el objeto de cumplir con lo establecido en el artículo 2 del decreto número 69 que autoriza de creación del FIGAROSY, el cual menciona que tendrá como fin la administración e inversión de los recursos para la difusión, preservación, impulso y permanencia de la Orquesta Sinfónica de Yucatán.</w:t>
      </w:r>
    </w:p>
    <w:p w:rsidR="00764803" w:rsidRPr="000908E2" w:rsidRDefault="00764803" w:rsidP="00764803">
      <w:pPr>
        <w:tabs>
          <w:tab w:val="left" w:pos="426"/>
        </w:tabs>
        <w:rPr>
          <w:rFonts w:asciiTheme="minorHAnsi" w:hAnsiTheme="minorHAnsi"/>
          <w:b/>
          <w:sz w:val="20"/>
          <w:szCs w:val="20"/>
        </w:rPr>
      </w:pPr>
    </w:p>
    <w:p w:rsidR="00764803" w:rsidRPr="00ED768C" w:rsidRDefault="00764803" w:rsidP="00764803">
      <w:pPr>
        <w:pStyle w:val="Prrafodelista"/>
        <w:numPr>
          <w:ilvl w:val="2"/>
          <w:numId w:val="29"/>
        </w:numPr>
        <w:tabs>
          <w:tab w:val="left" w:pos="284"/>
          <w:tab w:val="left" w:pos="426"/>
          <w:tab w:val="left" w:pos="567"/>
        </w:tabs>
        <w:ind w:left="0" w:firstLine="0"/>
        <w:jc w:val="both"/>
        <w:rPr>
          <w:rFonts w:asciiTheme="minorHAnsi" w:hAnsiTheme="minorHAnsi"/>
          <w:sz w:val="20"/>
          <w:szCs w:val="20"/>
        </w:rPr>
      </w:pPr>
      <w:r>
        <w:rPr>
          <w:rFonts w:asciiTheme="minorHAnsi" w:hAnsiTheme="minorHAnsi"/>
          <w:sz w:val="20"/>
          <w:szCs w:val="20"/>
        </w:rPr>
        <w:t xml:space="preserve"> </w:t>
      </w:r>
      <w:r w:rsidRPr="00ED768C">
        <w:rPr>
          <w:rFonts w:asciiTheme="minorHAnsi" w:hAnsiTheme="minorHAnsi"/>
          <w:sz w:val="20"/>
          <w:szCs w:val="20"/>
        </w:rPr>
        <w:t xml:space="preserve">La cuenta de </w:t>
      </w:r>
      <w:r>
        <w:rPr>
          <w:rFonts w:asciiTheme="minorHAnsi" w:hAnsiTheme="minorHAnsi"/>
          <w:sz w:val="20"/>
          <w:szCs w:val="20"/>
        </w:rPr>
        <w:t>estimaciones, depreciaciones, deterioros, obsolescencia y amortizaciones,</w:t>
      </w:r>
      <w:r w:rsidRPr="00ED768C">
        <w:rPr>
          <w:rFonts w:asciiTheme="minorHAnsi" w:hAnsiTheme="minorHAnsi"/>
          <w:sz w:val="20"/>
          <w:szCs w:val="20"/>
        </w:rPr>
        <w:t xml:space="preserve"> se integra de la siguiente manera:</w:t>
      </w:r>
    </w:p>
    <w:p w:rsidR="00764803" w:rsidRPr="000908E2" w:rsidRDefault="00764803" w:rsidP="00764803">
      <w:pPr>
        <w:pStyle w:val="Prrafodelista"/>
        <w:tabs>
          <w:tab w:val="left" w:pos="426"/>
        </w:tabs>
        <w:ind w:left="0"/>
        <w:rPr>
          <w:rFonts w:asciiTheme="minorHAnsi" w:hAnsiTheme="minorHAnsi"/>
          <w:sz w:val="20"/>
          <w:szCs w:val="20"/>
        </w:rPr>
      </w:pPr>
    </w:p>
    <w:bookmarkStart w:id="29" w:name="_MON_1458654333"/>
    <w:bookmarkEnd w:id="29"/>
    <w:p w:rsidR="00764803" w:rsidRDefault="00EB1786" w:rsidP="00764803">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7083" w:dyaOrig="1047">
          <v:shape id="_x0000_i1049" type="#_x0000_t75" style="width:355.2pt;height:52.2pt" o:ole="">
            <v:imagedata r:id="rId67" o:title=""/>
          </v:shape>
          <o:OLEObject Type="Embed" ProgID="Excel.Sheet.8" ShapeID="_x0000_i1049" DrawAspect="Content" ObjectID="_1555199780" r:id="rId68"/>
        </w:object>
      </w:r>
    </w:p>
    <w:p w:rsidR="00722B3F" w:rsidRPr="000908E2" w:rsidRDefault="00722B3F" w:rsidP="00764803">
      <w:pPr>
        <w:pStyle w:val="Prrafodelista"/>
        <w:tabs>
          <w:tab w:val="left" w:pos="426"/>
        </w:tabs>
        <w:ind w:left="0"/>
        <w:jc w:val="center"/>
        <w:rPr>
          <w:rFonts w:asciiTheme="minorHAnsi" w:hAnsiTheme="minorHAnsi" w:cs="Arial"/>
          <w:bCs/>
          <w:sz w:val="20"/>
          <w:szCs w:val="20"/>
        </w:rPr>
      </w:pPr>
    </w:p>
    <w:p w:rsidR="00764803" w:rsidRPr="000908E2" w:rsidRDefault="00764803" w:rsidP="00764803">
      <w:pPr>
        <w:pStyle w:val="Prrafodelista"/>
        <w:numPr>
          <w:ilvl w:val="0"/>
          <w:numId w:val="10"/>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depreciación de bienes muebles, corresponde al deterioro por el uso del mobiliario y equipo,  bienes artísticos y culturales, bienes informáticos, y maquinaria, otros equipos y herramientas por el período de</w:t>
      </w:r>
      <w:r>
        <w:rPr>
          <w:rFonts w:asciiTheme="minorHAnsi" w:hAnsiTheme="minorHAnsi"/>
          <w:sz w:val="20"/>
          <w:szCs w:val="20"/>
        </w:rPr>
        <w:t>l</w:t>
      </w:r>
      <w:r w:rsidRPr="000908E2">
        <w:rPr>
          <w:rFonts w:asciiTheme="minorHAnsi" w:hAnsiTheme="minorHAnsi"/>
          <w:sz w:val="20"/>
          <w:szCs w:val="20"/>
        </w:rPr>
        <w:t xml:space="preserve"> </w:t>
      </w:r>
      <w:r>
        <w:rPr>
          <w:rFonts w:asciiTheme="minorHAnsi" w:hAnsiTheme="minorHAnsi"/>
          <w:sz w:val="20"/>
          <w:szCs w:val="20"/>
        </w:rPr>
        <w:t xml:space="preserve">1 de Enero al 31 de </w:t>
      </w:r>
      <w:r w:rsidR="00D95113">
        <w:rPr>
          <w:rFonts w:asciiTheme="minorHAnsi" w:hAnsiTheme="minorHAnsi"/>
          <w:sz w:val="20"/>
          <w:szCs w:val="20"/>
        </w:rPr>
        <w:t>Marzo</w:t>
      </w:r>
      <w:r w:rsidRPr="000908E2">
        <w:rPr>
          <w:rFonts w:asciiTheme="minorHAnsi" w:hAnsiTheme="minorHAnsi"/>
          <w:sz w:val="20"/>
          <w:szCs w:val="20"/>
        </w:rPr>
        <w:t xml:space="preserve"> de 201</w:t>
      </w:r>
      <w:r w:rsidR="00D95113">
        <w:rPr>
          <w:rFonts w:asciiTheme="minorHAnsi" w:hAnsiTheme="minorHAnsi"/>
          <w:sz w:val="20"/>
          <w:szCs w:val="20"/>
        </w:rPr>
        <w:t>7</w:t>
      </w:r>
      <w:r w:rsidRPr="000908E2">
        <w:rPr>
          <w:rFonts w:asciiTheme="minorHAnsi" w:hAnsiTheme="minorHAnsi"/>
          <w:sz w:val="20"/>
          <w:szCs w:val="20"/>
        </w:rPr>
        <w:t>.</w:t>
      </w:r>
    </w:p>
    <w:p w:rsidR="00764803" w:rsidRPr="000908E2" w:rsidRDefault="00764803" w:rsidP="00764803">
      <w:pPr>
        <w:rPr>
          <w:rFonts w:asciiTheme="minorHAnsi" w:hAnsiTheme="minorHAnsi"/>
          <w:sz w:val="20"/>
          <w:szCs w:val="20"/>
        </w:rPr>
      </w:pPr>
    </w:p>
    <w:p w:rsidR="00764803" w:rsidRPr="000908E2" w:rsidRDefault="00764803" w:rsidP="00764803">
      <w:pPr>
        <w:pStyle w:val="Prrafodelista"/>
        <w:numPr>
          <w:ilvl w:val="0"/>
          <w:numId w:val="10"/>
        </w:numPr>
        <w:tabs>
          <w:tab w:val="left" w:pos="284"/>
        </w:tabs>
        <w:ind w:left="0" w:firstLine="0"/>
        <w:jc w:val="both"/>
        <w:rPr>
          <w:rFonts w:asciiTheme="minorHAnsi" w:hAnsiTheme="minorHAnsi"/>
          <w:sz w:val="20"/>
          <w:szCs w:val="20"/>
        </w:rPr>
      </w:pPr>
      <w:r w:rsidRPr="000908E2">
        <w:rPr>
          <w:rFonts w:asciiTheme="minorHAnsi" w:hAnsiTheme="minorHAnsi"/>
          <w:sz w:val="20"/>
          <w:szCs w:val="20"/>
        </w:rPr>
        <w:t>La cuenta de amortización de activos intangibles, corresponde al deterioro por el uso del software por el período de</w:t>
      </w:r>
      <w:r>
        <w:rPr>
          <w:rFonts w:asciiTheme="minorHAnsi" w:hAnsiTheme="minorHAnsi"/>
          <w:sz w:val="20"/>
          <w:szCs w:val="20"/>
        </w:rPr>
        <w:t>l 1 de Enero al 31 de</w:t>
      </w:r>
      <w:r w:rsidRPr="000908E2">
        <w:rPr>
          <w:rFonts w:asciiTheme="minorHAnsi" w:hAnsiTheme="minorHAnsi"/>
          <w:sz w:val="20"/>
          <w:szCs w:val="20"/>
        </w:rPr>
        <w:t xml:space="preserve"> </w:t>
      </w:r>
      <w:r w:rsidR="00D95113">
        <w:rPr>
          <w:rFonts w:asciiTheme="minorHAnsi" w:hAnsiTheme="minorHAnsi"/>
          <w:sz w:val="20"/>
          <w:szCs w:val="20"/>
        </w:rPr>
        <w:t>Marzo</w:t>
      </w:r>
      <w:r w:rsidRPr="000908E2">
        <w:rPr>
          <w:rFonts w:asciiTheme="minorHAnsi" w:hAnsiTheme="minorHAnsi"/>
          <w:sz w:val="20"/>
          <w:szCs w:val="20"/>
        </w:rPr>
        <w:t xml:space="preserve"> de 201</w:t>
      </w:r>
      <w:r w:rsidR="00D95113">
        <w:rPr>
          <w:rFonts w:asciiTheme="minorHAnsi" w:hAnsiTheme="minorHAnsi"/>
          <w:sz w:val="20"/>
          <w:szCs w:val="20"/>
        </w:rPr>
        <w:t>7</w:t>
      </w:r>
      <w:r w:rsidRPr="000908E2">
        <w:rPr>
          <w:rFonts w:asciiTheme="minorHAnsi" w:hAnsiTheme="minorHAnsi"/>
          <w:sz w:val="20"/>
          <w:szCs w:val="20"/>
        </w:rPr>
        <w:t>.</w:t>
      </w:r>
    </w:p>
    <w:p w:rsidR="000B52D8" w:rsidRPr="000908E2" w:rsidRDefault="000B52D8" w:rsidP="00764803">
      <w:pPr>
        <w:pStyle w:val="Prrafodelista"/>
        <w:tabs>
          <w:tab w:val="left" w:pos="426"/>
        </w:tabs>
        <w:ind w:left="0"/>
        <w:rPr>
          <w:rFonts w:asciiTheme="minorHAnsi" w:hAnsiTheme="minorHAnsi"/>
          <w:sz w:val="20"/>
          <w:szCs w:val="20"/>
        </w:rPr>
      </w:pPr>
    </w:p>
    <w:p w:rsidR="00764803" w:rsidRPr="000908E2" w:rsidRDefault="00764803" w:rsidP="00764803">
      <w:pPr>
        <w:pStyle w:val="Prrafodelista"/>
        <w:numPr>
          <w:ilvl w:val="0"/>
          <w:numId w:val="26"/>
        </w:numPr>
        <w:tabs>
          <w:tab w:val="left" w:pos="426"/>
        </w:tabs>
        <w:rPr>
          <w:rFonts w:asciiTheme="minorHAnsi" w:hAnsiTheme="minorHAnsi"/>
          <w:b/>
          <w:sz w:val="20"/>
          <w:szCs w:val="20"/>
        </w:rPr>
      </w:pPr>
      <w:r w:rsidRPr="000908E2">
        <w:rPr>
          <w:rFonts w:asciiTheme="minorHAnsi" w:hAnsiTheme="minorHAnsi"/>
          <w:b/>
          <w:sz w:val="20"/>
          <w:szCs w:val="20"/>
        </w:rPr>
        <w:t>NOTAS AL ESTADO DE VARIACIÓN EN LA HACIENDA PÚBLICA / PATRIMONIO.</w:t>
      </w:r>
    </w:p>
    <w:p w:rsidR="00764803" w:rsidRPr="000908E2" w:rsidRDefault="00764803" w:rsidP="00764803">
      <w:pPr>
        <w:pStyle w:val="Prrafodelista"/>
        <w:tabs>
          <w:tab w:val="left" w:pos="426"/>
        </w:tabs>
        <w:ind w:left="0"/>
        <w:rPr>
          <w:rFonts w:asciiTheme="minorHAnsi" w:hAnsiTheme="minorHAnsi"/>
          <w:b/>
          <w:sz w:val="20"/>
          <w:szCs w:val="20"/>
        </w:rPr>
      </w:pPr>
    </w:p>
    <w:p w:rsidR="00183493" w:rsidRPr="000908E2" w:rsidRDefault="00183493" w:rsidP="00183493">
      <w:pPr>
        <w:pStyle w:val="Prrafodelista"/>
        <w:tabs>
          <w:tab w:val="left" w:pos="426"/>
        </w:tabs>
        <w:ind w:left="0"/>
        <w:rPr>
          <w:rFonts w:asciiTheme="minorHAnsi" w:hAnsiTheme="minorHAnsi"/>
          <w:sz w:val="20"/>
          <w:szCs w:val="20"/>
        </w:rPr>
      </w:pPr>
      <w:r w:rsidRPr="000908E2">
        <w:rPr>
          <w:rFonts w:asciiTheme="minorHAnsi" w:hAnsiTheme="minorHAnsi"/>
          <w:sz w:val="20"/>
          <w:szCs w:val="20"/>
        </w:rPr>
        <w:t xml:space="preserve">El rubro de </w:t>
      </w:r>
      <w:r>
        <w:rPr>
          <w:rFonts w:asciiTheme="minorHAnsi" w:hAnsiTheme="minorHAnsi"/>
          <w:sz w:val="20"/>
          <w:szCs w:val="20"/>
        </w:rPr>
        <w:t xml:space="preserve">Hacienda Pública/Patrimonio </w:t>
      </w:r>
      <w:r w:rsidRPr="000908E2">
        <w:rPr>
          <w:rFonts w:asciiTheme="minorHAnsi" w:hAnsiTheme="minorHAnsi"/>
          <w:sz w:val="20"/>
          <w:szCs w:val="20"/>
        </w:rPr>
        <w:t xml:space="preserve">al </w:t>
      </w:r>
      <w:r>
        <w:rPr>
          <w:rFonts w:asciiTheme="minorHAnsi" w:hAnsiTheme="minorHAnsi"/>
          <w:sz w:val="20"/>
          <w:szCs w:val="20"/>
        </w:rPr>
        <w:t>31</w:t>
      </w:r>
      <w:r w:rsidRPr="000908E2">
        <w:rPr>
          <w:rFonts w:asciiTheme="minorHAnsi" w:hAnsiTheme="minorHAnsi"/>
          <w:sz w:val="20"/>
          <w:szCs w:val="20"/>
        </w:rPr>
        <w:t xml:space="preserve"> de </w:t>
      </w:r>
      <w:r w:rsidR="00D95113">
        <w:rPr>
          <w:rFonts w:asciiTheme="minorHAnsi" w:hAnsiTheme="minorHAnsi"/>
          <w:sz w:val="20"/>
          <w:szCs w:val="20"/>
        </w:rPr>
        <w:t>Marzo de 2017</w:t>
      </w:r>
      <w:r w:rsidRPr="000908E2">
        <w:rPr>
          <w:rFonts w:asciiTheme="minorHAnsi" w:hAnsiTheme="minorHAnsi"/>
          <w:sz w:val="20"/>
          <w:szCs w:val="20"/>
        </w:rPr>
        <w:t>, se encuentra integrado de la siguiente manera:</w:t>
      </w:r>
    </w:p>
    <w:p w:rsidR="00183493" w:rsidRPr="000908E2" w:rsidRDefault="00183493" w:rsidP="00183493">
      <w:pPr>
        <w:pStyle w:val="Prrafodelista"/>
        <w:tabs>
          <w:tab w:val="left" w:pos="426"/>
        </w:tabs>
        <w:ind w:left="0"/>
        <w:rPr>
          <w:rFonts w:asciiTheme="minorHAnsi" w:hAnsiTheme="minorHAnsi"/>
          <w:sz w:val="20"/>
          <w:szCs w:val="20"/>
        </w:rPr>
      </w:pPr>
    </w:p>
    <w:p w:rsidR="00183493" w:rsidRPr="000B52D8" w:rsidRDefault="00D95113" w:rsidP="000B52D8">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6678" w:dyaOrig="1158">
          <v:shape id="_x0000_i1050" type="#_x0000_t75" style="width:333pt;height:57pt" o:ole="">
            <v:imagedata r:id="rId69" o:title=""/>
          </v:shape>
          <o:OLEObject Type="Embed" ProgID="Excel.Sheet.8" ShapeID="_x0000_i1050" DrawAspect="Content" ObjectID="_1555199781" r:id="rId70"/>
        </w:object>
      </w:r>
    </w:p>
    <w:p w:rsidR="00183493" w:rsidRDefault="00183493" w:rsidP="00764803">
      <w:pPr>
        <w:pStyle w:val="Prrafodelista"/>
        <w:tabs>
          <w:tab w:val="left" w:pos="284"/>
        </w:tabs>
        <w:ind w:left="0"/>
        <w:jc w:val="both"/>
        <w:rPr>
          <w:rFonts w:asciiTheme="minorHAnsi" w:hAnsiTheme="minorHAnsi"/>
          <w:sz w:val="20"/>
          <w:szCs w:val="20"/>
        </w:rPr>
      </w:pPr>
    </w:p>
    <w:p w:rsidR="00183493" w:rsidRDefault="00183493" w:rsidP="00764803">
      <w:pPr>
        <w:pStyle w:val="Prrafodelista"/>
        <w:tabs>
          <w:tab w:val="left" w:pos="284"/>
        </w:tabs>
        <w:ind w:left="0"/>
        <w:jc w:val="both"/>
        <w:rPr>
          <w:rFonts w:asciiTheme="minorHAnsi" w:hAnsiTheme="minorHAnsi"/>
          <w:bCs/>
          <w:sz w:val="20"/>
          <w:szCs w:val="20"/>
        </w:rPr>
      </w:pPr>
      <w:r w:rsidRPr="00183493">
        <w:rPr>
          <w:rFonts w:asciiTheme="minorHAnsi" w:hAnsiTheme="minorHAnsi"/>
          <w:b/>
          <w:sz w:val="20"/>
          <w:szCs w:val="20"/>
        </w:rPr>
        <w:t>3.1</w:t>
      </w:r>
      <w:r>
        <w:rPr>
          <w:rFonts w:asciiTheme="minorHAnsi" w:hAnsiTheme="minorHAnsi"/>
          <w:sz w:val="20"/>
          <w:szCs w:val="20"/>
        </w:rPr>
        <w:t xml:space="preserve"> </w:t>
      </w:r>
      <w:r w:rsidRPr="000908E2">
        <w:rPr>
          <w:rFonts w:asciiTheme="minorHAnsi" w:hAnsiTheme="minorHAnsi"/>
          <w:sz w:val="20"/>
          <w:szCs w:val="20"/>
        </w:rPr>
        <w:t>En el rubro de Hacienda púb</w:t>
      </w:r>
      <w:r>
        <w:rPr>
          <w:rFonts w:asciiTheme="minorHAnsi" w:hAnsiTheme="minorHAnsi"/>
          <w:sz w:val="20"/>
          <w:szCs w:val="20"/>
        </w:rPr>
        <w:t>lica / Patrimonio Contribuido al 31</w:t>
      </w:r>
      <w:r w:rsidRPr="000908E2">
        <w:rPr>
          <w:rFonts w:asciiTheme="minorHAnsi" w:hAnsiTheme="minorHAnsi"/>
          <w:sz w:val="20"/>
          <w:szCs w:val="20"/>
        </w:rPr>
        <w:t xml:space="preserve"> de </w:t>
      </w:r>
      <w:r w:rsidR="00CD5709">
        <w:rPr>
          <w:rFonts w:asciiTheme="minorHAnsi" w:hAnsiTheme="minorHAnsi"/>
          <w:sz w:val="20"/>
          <w:szCs w:val="20"/>
        </w:rPr>
        <w:t>Marzo</w:t>
      </w:r>
      <w:r w:rsidRPr="000908E2">
        <w:rPr>
          <w:rFonts w:asciiTheme="minorHAnsi" w:hAnsiTheme="minorHAnsi"/>
          <w:sz w:val="20"/>
          <w:szCs w:val="20"/>
        </w:rPr>
        <w:t xml:space="preserve"> de 201</w:t>
      </w:r>
      <w:r w:rsidR="00CD5709">
        <w:rPr>
          <w:rFonts w:asciiTheme="minorHAnsi" w:hAnsiTheme="minorHAnsi"/>
          <w:sz w:val="20"/>
          <w:szCs w:val="20"/>
        </w:rPr>
        <w:t>7</w:t>
      </w:r>
      <w:r>
        <w:rPr>
          <w:rFonts w:asciiTheme="minorHAnsi" w:hAnsiTheme="minorHAnsi"/>
          <w:sz w:val="20"/>
          <w:szCs w:val="20"/>
        </w:rPr>
        <w:t xml:space="preserve">, </w:t>
      </w:r>
      <w:r w:rsidR="00787D3A">
        <w:rPr>
          <w:rFonts w:asciiTheme="minorHAnsi" w:hAnsiTheme="minorHAnsi"/>
          <w:sz w:val="20"/>
          <w:szCs w:val="20"/>
        </w:rPr>
        <w:t xml:space="preserve">está conformada por </w:t>
      </w:r>
      <w:r>
        <w:rPr>
          <w:rFonts w:asciiTheme="minorHAnsi" w:hAnsiTheme="minorHAnsi"/>
          <w:sz w:val="20"/>
          <w:szCs w:val="20"/>
        </w:rPr>
        <w:t>l</w:t>
      </w:r>
      <w:r w:rsidRPr="00183493">
        <w:rPr>
          <w:rFonts w:asciiTheme="minorHAnsi" w:hAnsiTheme="minorHAnsi"/>
          <w:sz w:val="20"/>
          <w:szCs w:val="20"/>
        </w:rPr>
        <w:t xml:space="preserve">a cuenta de Donaciones de Capital, acumula la aportación en especie otorgada por el Patronato para la Orquesta Sinfónica de Yucatán por la cantidad de $ </w:t>
      </w:r>
      <w:r>
        <w:rPr>
          <w:rFonts w:asciiTheme="minorHAnsi" w:hAnsiTheme="minorHAnsi"/>
          <w:sz w:val="20"/>
          <w:szCs w:val="20"/>
        </w:rPr>
        <w:t>396,012</w:t>
      </w:r>
      <w:r w:rsidRPr="00183493">
        <w:rPr>
          <w:rFonts w:asciiTheme="minorHAnsi" w:hAnsiTheme="minorHAnsi"/>
          <w:sz w:val="20"/>
          <w:szCs w:val="20"/>
        </w:rPr>
        <w:t xml:space="preserve">.00, que consta </w:t>
      </w:r>
      <w:r w:rsidR="00787D3A">
        <w:rPr>
          <w:rFonts w:asciiTheme="minorHAnsi" w:hAnsiTheme="minorHAnsi"/>
          <w:bCs/>
          <w:sz w:val="20"/>
          <w:szCs w:val="20"/>
        </w:rPr>
        <w:t xml:space="preserve">un violín y un </w:t>
      </w:r>
      <w:proofErr w:type="spellStart"/>
      <w:r w:rsidR="00787D3A">
        <w:rPr>
          <w:rFonts w:asciiTheme="minorHAnsi" w:hAnsiTheme="minorHAnsi"/>
          <w:bCs/>
          <w:sz w:val="20"/>
          <w:szCs w:val="20"/>
        </w:rPr>
        <w:t>kiosko</w:t>
      </w:r>
      <w:proofErr w:type="spellEnd"/>
      <w:r w:rsidR="00787D3A">
        <w:rPr>
          <w:rFonts w:asciiTheme="minorHAnsi" w:hAnsiTheme="minorHAnsi"/>
          <w:bCs/>
          <w:sz w:val="20"/>
          <w:szCs w:val="20"/>
        </w:rPr>
        <w:t xml:space="preserve"> digital interactivo para venta de localidades de la Orquesta Sinfónica de Yucatán.</w:t>
      </w:r>
    </w:p>
    <w:p w:rsidR="00787D3A" w:rsidRDefault="00787D3A" w:rsidP="00764803">
      <w:pPr>
        <w:pStyle w:val="Prrafodelista"/>
        <w:tabs>
          <w:tab w:val="left" w:pos="284"/>
        </w:tabs>
        <w:ind w:left="0"/>
        <w:jc w:val="both"/>
        <w:rPr>
          <w:rFonts w:asciiTheme="minorHAnsi" w:hAnsiTheme="minorHAnsi"/>
          <w:sz w:val="20"/>
          <w:szCs w:val="20"/>
        </w:rPr>
      </w:pPr>
    </w:p>
    <w:p w:rsidR="00764803" w:rsidRPr="000908E2" w:rsidRDefault="00183493" w:rsidP="00764803">
      <w:pPr>
        <w:pStyle w:val="Prrafodelista"/>
        <w:tabs>
          <w:tab w:val="left" w:pos="284"/>
        </w:tabs>
        <w:ind w:left="0"/>
        <w:jc w:val="both"/>
        <w:rPr>
          <w:rFonts w:asciiTheme="minorHAnsi" w:hAnsiTheme="minorHAnsi"/>
          <w:sz w:val="20"/>
          <w:szCs w:val="20"/>
        </w:rPr>
      </w:pPr>
      <w:r w:rsidRPr="00183493">
        <w:rPr>
          <w:rFonts w:asciiTheme="minorHAnsi" w:hAnsiTheme="minorHAnsi"/>
          <w:b/>
          <w:sz w:val="20"/>
          <w:szCs w:val="20"/>
        </w:rPr>
        <w:t>3.2</w:t>
      </w:r>
      <w:r>
        <w:rPr>
          <w:rFonts w:asciiTheme="minorHAnsi" w:hAnsiTheme="minorHAnsi"/>
          <w:sz w:val="20"/>
          <w:szCs w:val="20"/>
        </w:rPr>
        <w:t xml:space="preserve"> </w:t>
      </w:r>
      <w:r w:rsidR="00764803" w:rsidRPr="000908E2">
        <w:rPr>
          <w:rFonts w:asciiTheme="minorHAnsi" w:hAnsiTheme="minorHAnsi"/>
          <w:sz w:val="20"/>
          <w:szCs w:val="20"/>
        </w:rPr>
        <w:t>En el rubro de Hacienda púb</w:t>
      </w:r>
      <w:r w:rsidR="00764803">
        <w:rPr>
          <w:rFonts w:asciiTheme="minorHAnsi" w:hAnsiTheme="minorHAnsi"/>
          <w:sz w:val="20"/>
          <w:szCs w:val="20"/>
        </w:rPr>
        <w:t xml:space="preserve">lica / Patrimonio </w:t>
      </w:r>
      <w:r>
        <w:rPr>
          <w:rFonts w:asciiTheme="minorHAnsi" w:hAnsiTheme="minorHAnsi"/>
          <w:sz w:val="20"/>
          <w:szCs w:val="20"/>
        </w:rPr>
        <w:t>G</w:t>
      </w:r>
      <w:r w:rsidR="00764803">
        <w:rPr>
          <w:rFonts w:asciiTheme="minorHAnsi" w:hAnsiTheme="minorHAnsi"/>
          <w:sz w:val="20"/>
          <w:szCs w:val="20"/>
        </w:rPr>
        <w:t>enerado al 31</w:t>
      </w:r>
      <w:r w:rsidR="00764803" w:rsidRPr="000908E2">
        <w:rPr>
          <w:rFonts w:asciiTheme="minorHAnsi" w:hAnsiTheme="minorHAnsi"/>
          <w:sz w:val="20"/>
          <w:szCs w:val="20"/>
        </w:rPr>
        <w:t xml:space="preserve"> de </w:t>
      </w:r>
      <w:r w:rsidR="00CD5709">
        <w:rPr>
          <w:rFonts w:asciiTheme="minorHAnsi" w:hAnsiTheme="minorHAnsi"/>
          <w:sz w:val="20"/>
          <w:szCs w:val="20"/>
        </w:rPr>
        <w:t>Marzo</w:t>
      </w:r>
      <w:r w:rsidR="00764803" w:rsidRPr="000908E2">
        <w:rPr>
          <w:rFonts w:asciiTheme="minorHAnsi" w:hAnsiTheme="minorHAnsi"/>
          <w:sz w:val="20"/>
          <w:szCs w:val="20"/>
        </w:rPr>
        <w:t xml:space="preserve"> de 201</w:t>
      </w:r>
      <w:r w:rsidR="00CD5709">
        <w:rPr>
          <w:rFonts w:asciiTheme="minorHAnsi" w:hAnsiTheme="minorHAnsi"/>
          <w:sz w:val="20"/>
          <w:szCs w:val="20"/>
        </w:rPr>
        <w:t>7</w:t>
      </w:r>
      <w:r w:rsidR="00764803" w:rsidRPr="000908E2">
        <w:rPr>
          <w:rFonts w:asciiTheme="minorHAnsi" w:hAnsiTheme="minorHAnsi"/>
          <w:sz w:val="20"/>
          <w:szCs w:val="20"/>
        </w:rPr>
        <w:t>, el Fideicomiso Garante de la Orquesta Sinfónica de Yucatán ha generado ahorros y/o desahorros en los ejercicios 2009, 2010, 2011, 2012, 2013</w:t>
      </w:r>
      <w:r w:rsidR="00764803">
        <w:rPr>
          <w:rFonts w:asciiTheme="minorHAnsi" w:hAnsiTheme="minorHAnsi"/>
          <w:sz w:val="20"/>
          <w:szCs w:val="20"/>
        </w:rPr>
        <w:t>,</w:t>
      </w:r>
      <w:r w:rsidR="00764803" w:rsidRPr="000908E2">
        <w:rPr>
          <w:rFonts w:asciiTheme="minorHAnsi" w:hAnsiTheme="minorHAnsi"/>
          <w:sz w:val="20"/>
          <w:szCs w:val="20"/>
        </w:rPr>
        <w:t xml:space="preserve"> 2014</w:t>
      </w:r>
      <w:r w:rsidR="00CD5709">
        <w:rPr>
          <w:rFonts w:asciiTheme="minorHAnsi" w:hAnsiTheme="minorHAnsi"/>
          <w:sz w:val="20"/>
          <w:szCs w:val="20"/>
        </w:rPr>
        <w:t xml:space="preserve">, </w:t>
      </w:r>
      <w:r w:rsidR="00764803">
        <w:rPr>
          <w:rFonts w:asciiTheme="minorHAnsi" w:hAnsiTheme="minorHAnsi"/>
          <w:sz w:val="20"/>
          <w:szCs w:val="20"/>
        </w:rPr>
        <w:t>2015</w:t>
      </w:r>
      <w:r w:rsidR="00CD5709">
        <w:rPr>
          <w:rFonts w:asciiTheme="minorHAnsi" w:hAnsiTheme="minorHAnsi"/>
          <w:sz w:val="20"/>
          <w:szCs w:val="20"/>
        </w:rPr>
        <w:t xml:space="preserve"> y 2016</w:t>
      </w:r>
      <w:r w:rsidR="00764803" w:rsidRPr="000908E2">
        <w:rPr>
          <w:rFonts w:asciiTheme="minorHAnsi" w:hAnsiTheme="minorHAnsi"/>
          <w:sz w:val="20"/>
          <w:szCs w:val="20"/>
        </w:rPr>
        <w:t>, y a su vez se han efectuado rectificaciones posteriores, acumulando un total de:</w:t>
      </w:r>
    </w:p>
    <w:p w:rsidR="00764803" w:rsidRPr="000908E2" w:rsidRDefault="00764803" w:rsidP="00764803">
      <w:pPr>
        <w:tabs>
          <w:tab w:val="left" w:pos="284"/>
        </w:tabs>
        <w:jc w:val="both"/>
        <w:rPr>
          <w:rFonts w:asciiTheme="minorHAnsi" w:hAnsiTheme="minorHAnsi"/>
          <w:sz w:val="20"/>
          <w:szCs w:val="20"/>
        </w:rPr>
      </w:pPr>
    </w:p>
    <w:bookmarkStart w:id="30" w:name="_MON_1458651679"/>
    <w:bookmarkStart w:id="31" w:name="_MON_1458651607"/>
    <w:bookmarkStart w:id="32" w:name="_MON_1458651667"/>
    <w:bookmarkEnd w:id="30"/>
    <w:bookmarkEnd w:id="31"/>
    <w:bookmarkEnd w:id="32"/>
    <w:p w:rsidR="00764803" w:rsidRPr="000908E2" w:rsidRDefault="004C64BF" w:rsidP="00764803">
      <w:pPr>
        <w:pStyle w:val="Prrafodelista"/>
        <w:tabs>
          <w:tab w:val="left" w:pos="426"/>
        </w:tabs>
        <w:ind w:left="0"/>
        <w:jc w:val="center"/>
        <w:rPr>
          <w:rFonts w:asciiTheme="minorHAnsi" w:hAnsiTheme="minorHAnsi" w:cs="Arial"/>
          <w:bCs/>
          <w:sz w:val="20"/>
          <w:szCs w:val="20"/>
        </w:rPr>
      </w:pPr>
      <w:r w:rsidRPr="000908E2">
        <w:rPr>
          <w:rFonts w:asciiTheme="minorHAnsi" w:hAnsiTheme="minorHAnsi" w:cs="Arial"/>
          <w:bCs/>
          <w:sz w:val="20"/>
          <w:szCs w:val="20"/>
        </w:rPr>
        <w:object w:dxaOrig="9188" w:dyaOrig="2593">
          <v:shape id="_x0000_i1051" type="#_x0000_t75" style="width:459pt;height:128.4pt" o:ole="">
            <v:imagedata r:id="rId71" o:title=""/>
          </v:shape>
          <o:OLEObject Type="Embed" ProgID="Excel.Sheet.8" ShapeID="_x0000_i1051" DrawAspect="Content" ObjectID="_1555199782" r:id="rId72"/>
        </w:object>
      </w:r>
    </w:p>
    <w:p w:rsidR="00764803" w:rsidRPr="000908E2" w:rsidRDefault="00764803" w:rsidP="00764803">
      <w:pPr>
        <w:pStyle w:val="Prrafodelista"/>
        <w:tabs>
          <w:tab w:val="left" w:pos="426"/>
        </w:tabs>
        <w:ind w:left="0"/>
        <w:rPr>
          <w:rFonts w:asciiTheme="minorHAnsi" w:hAnsiTheme="minorHAnsi" w:cs="Arial"/>
          <w:bCs/>
          <w:sz w:val="20"/>
          <w:szCs w:val="20"/>
        </w:rPr>
      </w:pPr>
    </w:p>
    <w:p w:rsidR="00764803" w:rsidRPr="00787D3A" w:rsidRDefault="00787D3A" w:rsidP="00787D3A">
      <w:pPr>
        <w:pStyle w:val="Prrafodelista"/>
        <w:numPr>
          <w:ilvl w:val="2"/>
          <w:numId w:val="37"/>
        </w:numPr>
        <w:tabs>
          <w:tab w:val="left" w:pos="426"/>
        </w:tabs>
        <w:ind w:left="0" w:firstLine="0"/>
        <w:jc w:val="both"/>
        <w:rPr>
          <w:rFonts w:asciiTheme="minorHAnsi" w:hAnsiTheme="minorHAnsi"/>
          <w:b/>
          <w:sz w:val="20"/>
          <w:szCs w:val="20"/>
        </w:rPr>
      </w:pPr>
      <w:r>
        <w:rPr>
          <w:rFonts w:asciiTheme="minorHAnsi" w:hAnsiTheme="minorHAnsi"/>
          <w:sz w:val="20"/>
          <w:szCs w:val="20"/>
        </w:rPr>
        <w:t xml:space="preserve"> </w:t>
      </w:r>
      <w:r w:rsidR="00764803" w:rsidRPr="00787D3A">
        <w:rPr>
          <w:rFonts w:asciiTheme="minorHAnsi" w:hAnsiTheme="minorHAnsi"/>
          <w:sz w:val="20"/>
          <w:szCs w:val="20"/>
        </w:rPr>
        <w:t>La cuenta de resultados de ejercicios anteriores, que forma parte del patrimonio generado, se integra de la siguiente manera:</w:t>
      </w:r>
    </w:p>
    <w:p w:rsidR="00764803" w:rsidRPr="000908E2" w:rsidRDefault="00764803" w:rsidP="00764803">
      <w:pPr>
        <w:pStyle w:val="Prrafodelista"/>
        <w:tabs>
          <w:tab w:val="left" w:pos="284"/>
        </w:tabs>
        <w:ind w:left="0"/>
        <w:jc w:val="both"/>
        <w:rPr>
          <w:rFonts w:asciiTheme="minorHAnsi" w:hAnsiTheme="minorHAnsi"/>
          <w:sz w:val="20"/>
          <w:szCs w:val="20"/>
        </w:rPr>
      </w:pPr>
    </w:p>
    <w:bookmarkStart w:id="33" w:name="_MON_1498581006"/>
    <w:bookmarkEnd w:id="33"/>
    <w:p w:rsidR="00764803" w:rsidRPr="000908E2" w:rsidRDefault="004C64BF" w:rsidP="00764803">
      <w:pPr>
        <w:tabs>
          <w:tab w:val="left" w:pos="1134"/>
        </w:tabs>
        <w:jc w:val="center"/>
        <w:rPr>
          <w:rFonts w:asciiTheme="minorHAnsi" w:hAnsiTheme="minorHAnsi" w:cs="Arial"/>
          <w:bCs/>
          <w:sz w:val="20"/>
          <w:szCs w:val="20"/>
        </w:rPr>
      </w:pPr>
      <w:r w:rsidRPr="000908E2">
        <w:rPr>
          <w:rFonts w:asciiTheme="minorHAnsi" w:hAnsiTheme="minorHAnsi" w:cs="Arial"/>
          <w:bCs/>
          <w:sz w:val="20"/>
          <w:szCs w:val="20"/>
        </w:rPr>
        <w:object w:dxaOrig="6055" w:dyaOrig="2612">
          <v:shape id="_x0000_i1052" type="#_x0000_t75" style="width:301.8pt;height:128.4pt" o:ole="">
            <v:imagedata r:id="rId73" o:title=""/>
          </v:shape>
          <o:OLEObject Type="Embed" ProgID="Excel.Sheet.8" ShapeID="_x0000_i1052" DrawAspect="Content" ObjectID="_1555199783" r:id="rId74"/>
        </w:object>
      </w:r>
    </w:p>
    <w:p w:rsidR="00764803" w:rsidRPr="000908E2" w:rsidRDefault="00764803" w:rsidP="00764803">
      <w:pPr>
        <w:tabs>
          <w:tab w:val="left" w:pos="1134"/>
        </w:tabs>
        <w:rPr>
          <w:rFonts w:asciiTheme="minorHAnsi" w:hAnsiTheme="minorHAnsi" w:cs="Arial"/>
          <w:bCs/>
          <w:sz w:val="20"/>
          <w:szCs w:val="20"/>
        </w:rPr>
      </w:pPr>
    </w:p>
    <w:p w:rsidR="00764803" w:rsidRPr="000908E2" w:rsidRDefault="00764803" w:rsidP="00764803">
      <w:pPr>
        <w:pStyle w:val="Prrafodelista"/>
        <w:tabs>
          <w:tab w:val="left" w:pos="0"/>
          <w:tab w:val="left" w:pos="284"/>
        </w:tabs>
        <w:ind w:left="0"/>
        <w:jc w:val="both"/>
        <w:rPr>
          <w:rFonts w:asciiTheme="minorHAnsi" w:hAnsiTheme="minorHAnsi"/>
          <w:sz w:val="20"/>
          <w:szCs w:val="20"/>
        </w:rPr>
      </w:pPr>
      <w:r w:rsidRPr="000908E2">
        <w:rPr>
          <w:rFonts w:asciiTheme="minorHAnsi" w:hAnsiTheme="minorHAnsi"/>
          <w:b/>
          <w:sz w:val="20"/>
          <w:szCs w:val="20"/>
        </w:rPr>
        <w:t>3.2</w:t>
      </w:r>
      <w:r w:rsidR="00787D3A">
        <w:rPr>
          <w:rFonts w:asciiTheme="minorHAnsi" w:hAnsiTheme="minorHAnsi"/>
          <w:b/>
          <w:sz w:val="20"/>
          <w:szCs w:val="20"/>
        </w:rPr>
        <w:t>.2</w:t>
      </w:r>
      <w:r w:rsidRPr="000908E2">
        <w:rPr>
          <w:rFonts w:asciiTheme="minorHAnsi" w:hAnsiTheme="minorHAnsi"/>
          <w:sz w:val="20"/>
          <w:szCs w:val="20"/>
        </w:rPr>
        <w:t xml:space="preserve"> La cuenta de rectificaciones de resultados a ejercicios anteriores por cambio de políticas contables, que conforma parte del patrimonio generado, acumula las depreciaciones y amortizaciones que no fueron registradas en el debido ejercicio fiscal, realizando las afectaciones posteriores al cierre de los ejercicios fiscale</w:t>
      </w:r>
      <w:r w:rsidR="00CD5709">
        <w:rPr>
          <w:rFonts w:asciiTheme="minorHAnsi" w:hAnsiTheme="minorHAnsi"/>
          <w:sz w:val="20"/>
          <w:szCs w:val="20"/>
        </w:rPr>
        <w:t>s 2009, 2010, 2011, 2012, 2013 y</w:t>
      </w:r>
      <w:r w:rsidRPr="000908E2">
        <w:rPr>
          <w:rFonts w:asciiTheme="minorHAnsi" w:hAnsiTheme="minorHAnsi"/>
          <w:sz w:val="20"/>
          <w:szCs w:val="20"/>
        </w:rPr>
        <w:t xml:space="preserve"> 2014.  </w:t>
      </w:r>
    </w:p>
    <w:p w:rsidR="00764803" w:rsidRPr="000908E2" w:rsidRDefault="00764803" w:rsidP="00764803">
      <w:pPr>
        <w:tabs>
          <w:tab w:val="left" w:pos="426"/>
        </w:tabs>
        <w:jc w:val="both"/>
        <w:rPr>
          <w:rFonts w:asciiTheme="minorHAnsi" w:hAnsiTheme="minorHAnsi"/>
          <w:sz w:val="20"/>
          <w:szCs w:val="20"/>
        </w:rPr>
      </w:pPr>
    </w:p>
    <w:p w:rsidR="00764803" w:rsidRPr="000908E2" w:rsidRDefault="00764803" w:rsidP="00764803">
      <w:pPr>
        <w:tabs>
          <w:tab w:val="left" w:pos="426"/>
        </w:tabs>
        <w:jc w:val="both"/>
        <w:rPr>
          <w:rFonts w:asciiTheme="minorHAnsi" w:hAnsiTheme="minorHAnsi"/>
          <w:sz w:val="20"/>
          <w:szCs w:val="20"/>
        </w:rPr>
      </w:pPr>
      <w:r w:rsidRPr="000908E2">
        <w:rPr>
          <w:rFonts w:asciiTheme="minorHAnsi" w:hAnsiTheme="minorHAnsi"/>
          <w:sz w:val="20"/>
          <w:szCs w:val="20"/>
        </w:rPr>
        <w:t xml:space="preserve">En el mes de Diciembre de 2013, se registró la depreciación de los bienes muebles y amortización de activos intangibles que fueron adquiridos en los ejercicios 2009, 2010, 2011 y 2012, para cumplir el Acuerdo por el que se emiten las Reglas Específicas del Registro y Valoración del Patrimonio emitidas por el Consejo Nacional de Armonización Contable y publicadas en el Diario Oficial del Estado el 10 de Enero de 2012. </w:t>
      </w:r>
    </w:p>
    <w:p w:rsidR="00764803" w:rsidRPr="000908E2" w:rsidRDefault="00764803" w:rsidP="00764803">
      <w:pPr>
        <w:tabs>
          <w:tab w:val="left" w:pos="426"/>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 xml:space="preserve">En el mes de Diciembre de 2014, se registraron reclasificaciones afectando la cuenta de rectificaciones de rectificaciones a resultados a ejercicios anteriores, debido que existía la política de registrar las adquisiciones de bienes inmuebles, maquinaria y equipo que adquirió el Fideicomiso desde Abril de 2009 hasta Diciembre de 2013 en la cuenta contable de patrimonio contribuido. Este cambio de política de registro contable se debe a que el Consejo Nacional de Armonización Contable ha aclarado cada una de las cuentas contables que conforman la Hacienda Pública. </w:t>
      </w:r>
    </w:p>
    <w:p w:rsidR="00764803" w:rsidRPr="000908E2" w:rsidRDefault="00764803" w:rsidP="00764803">
      <w:pPr>
        <w:tabs>
          <w:tab w:val="left" w:pos="284"/>
        </w:tabs>
        <w:jc w:val="both"/>
        <w:rPr>
          <w:rFonts w:asciiTheme="minorHAnsi" w:hAnsiTheme="minorHAnsi"/>
          <w:sz w:val="20"/>
          <w:szCs w:val="20"/>
        </w:rPr>
      </w:pPr>
    </w:p>
    <w:p w:rsidR="00764803" w:rsidRPr="000908E2" w:rsidRDefault="00764803" w:rsidP="00764803">
      <w:pPr>
        <w:tabs>
          <w:tab w:val="left" w:pos="284"/>
        </w:tabs>
        <w:jc w:val="both"/>
        <w:rPr>
          <w:rFonts w:asciiTheme="minorHAnsi" w:hAnsiTheme="minorHAnsi"/>
          <w:sz w:val="20"/>
          <w:szCs w:val="20"/>
        </w:rPr>
      </w:pPr>
      <w:r w:rsidRPr="000908E2">
        <w:rPr>
          <w:rFonts w:asciiTheme="minorHAnsi" w:hAnsiTheme="minorHAnsi"/>
          <w:sz w:val="20"/>
          <w:szCs w:val="20"/>
        </w:rPr>
        <w:t>Así mismo, se reclasificaron los importes que acumulaba La cuenta de Donaciones de Capital, que forma parte del patrimonio contribuido, las aportación en especie otorgada por el Patronato para la Orquesta Sinfónica de Yucatán por la cantidad de $ 1,204,681.00, que consta de sesenta y cuatro sillas con características específicas para los músicos de la Orquesta Sinfónica de Yucatán, ocho carritos para trasladar y resguardas las sillas, y un pódium para el Director Artístico, dicha donación se registró en libros contables el mes de Diciembre de 2011 y asciende a la cantidad de $ 361,262.00, y dieciséis paneles que conforman la concha acústica, registrada en libros contables en el mes de Marzo de 2014, por la cantidad de $ 843,418.00, reclasificándolas a la cuenta de rectificaciones de resultados de ejercicios anteriores. Este cambio de política de registro contable se debe a que el Consejo Nacional de Armonización Contable, ha aclarado cada una de las cuentas contables que conforman la Hacienda Pública. Se integra de la siguiente manera:</w:t>
      </w:r>
    </w:p>
    <w:p w:rsidR="00764803" w:rsidRPr="000908E2" w:rsidRDefault="00764803" w:rsidP="00764803">
      <w:pPr>
        <w:tabs>
          <w:tab w:val="left" w:pos="426"/>
        </w:tabs>
        <w:jc w:val="both"/>
        <w:rPr>
          <w:rFonts w:asciiTheme="minorHAnsi" w:hAnsiTheme="minorHAnsi"/>
          <w:sz w:val="20"/>
          <w:szCs w:val="20"/>
        </w:rPr>
      </w:pPr>
    </w:p>
    <w:bookmarkStart w:id="34" w:name="_MON_1469526642"/>
    <w:bookmarkEnd w:id="34"/>
    <w:p w:rsidR="00764803" w:rsidRPr="000908E2" w:rsidRDefault="00764803" w:rsidP="00764803">
      <w:pPr>
        <w:tabs>
          <w:tab w:val="left" w:pos="426"/>
        </w:tabs>
        <w:jc w:val="center"/>
        <w:rPr>
          <w:rFonts w:asciiTheme="minorHAnsi" w:hAnsiTheme="minorHAnsi" w:cs="Arial"/>
          <w:bCs/>
          <w:sz w:val="20"/>
          <w:szCs w:val="20"/>
        </w:rPr>
      </w:pPr>
      <w:r w:rsidRPr="000908E2">
        <w:rPr>
          <w:rFonts w:asciiTheme="minorHAnsi" w:hAnsiTheme="minorHAnsi" w:cs="Arial"/>
          <w:bCs/>
          <w:sz w:val="20"/>
          <w:szCs w:val="20"/>
        </w:rPr>
        <w:object w:dxaOrig="7370" w:dyaOrig="2027">
          <v:shape id="_x0000_i1053" type="#_x0000_t75" style="width:366pt;height:101.4pt" o:ole="">
            <v:imagedata r:id="rId75" o:title=""/>
          </v:shape>
          <o:OLEObject Type="Embed" ProgID="Excel.Sheet.8" ShapeID="_x0000_i1053" DrawAspect="Content" ObjectID="_1555199784" r:id="rId76"/>
        </w:object>
      </w:r>
    </w:p>
    <w:p w:rsidR="00764803" w:rsidRPr="000908E2" w:rsidRDefault="00764803" w:rsidP="00764803">
      <w:pPr>
        <w:tabs>
          <w:tab w:val="left" w:pos="426"/>
        </w:tabs>
        <w:jc w:val="center"/>
        <w:rPr>
          <w:rFonts w:asciiTheme="minorHAnsi" w:hAnsiTheme="minorHAnsi" w:cs="Arial"/>
          <w:bCs/>
          <w:sz w:val="20"/>
          <w:szCs w:val="20"/>
        </w:rPr>
      </w:pPr>
    </w:p>
    <w:p w:rsidR="00764803" w:rsidRPr="000908E2" w:rsidRDefault="00764803" w:rsidP="00764803">
      <w:pPr>
        <w:pStyle w:val="Prrafodelista"/>
        <w:tabs>
          <w:tab w:val="left" w:pos="284"/>
        </w:tabs>
        <w:ind w:left="0"/>
        <w:jc w:val="both"/>
        <w:rPr>
          <w:rFonts w:asciiTheme="minorHAnsi" w:hAnsiTheme="minorHAnsi" w:cs="Arial"/>
          <w:bCs/>
          <w:sz w:val="20"/>
          <w:szCs w:val="20"/>
        </w:rPr>
      </w:pPr>
      <w:r w:rsidRPr="000908E2">
        <w:rPr>
          <w:rFonts w:asciiTheme="minorHAnsi" w:hAnsiTheme="minorHAnsi"/>
          <w:b/>
          <w:sz w:val="20"/>
          <w:szCs w:val="20"/>
        </w:rPr>
        <w:t>3.</w:t>
      </w:r>
      <w:r w:rsidR="00787D3A">
        <w:rPr>
          <w:rFonts w:asciiTheme="minorHAnsi" w:hAnsiTheme="minorHAnsi"/>
          <w:b/>
          <w:sz w:val="20"/>
          <w:szCs w:val="20"/>
        </w:rPr>
        <w:t>2.</w:t>
      </w:r>
      <w:r w:rsidRPr="000908E2">
        <w:rPr>
          <w:rFonts w:asciiTheme="minorHAnsi" w:hAnsiTheme="minorHAnsi"/>
          <w:b/>
          <w:sz w:val="20"/>
          <w:szCs w:val="20"/>
        </w:rPr>
        <w:t>3</w:t>
      </w:r>
      <w:r w:rsidRPr="000908E2">
        <w:rPr>
          <w:rFonts w:asciiTheme="minorHAnsi" w:hAnsiTheme="minorHAnsi"/>
          <w:sz w:val="20"/>
          <w:szCs w:val="20"/>
        </w:rPr>
        <w:t xml:space="preserve"> La cuenta de rectificaciones de resultados de ejercicios anteriores por cambios por errores contables, que forma parte del patrimonio generado, acumula las comprobaciones de proveedores y diferencias en la determinación de los Impuestos Sobre la Renta por Salarios y Asimilables a Salarios para efectos de una mejor presentación de la información, de acuerdo a las sugerencias efectuadas por la Auditoría Externa realizada por el Despacho MVR, Servicios Corporativos S.C., registro de comisiones bancarias y comprobaciones de gastos, realizando las afectaciones </w:t>
      </w:r>
      <w:r w:rsidRPr="000908E2">
        <w:rPr>
          <w:rFonts w:asciiTheme="minorHAnsi" w:hAnsiTheme="minorHAnsi" w:cs="Arial"/>
          <w:bCs/>
          <w:sz w:val="20"/>
          <w:szCs w:val="20"/>
        </w:rPr>
        <w:t xml:space="preserve">posteriores al cierre de los ejercicios fiscales </w:t>
      </w:r>
      <w:r w:rsidRPr="000908E2">
        <w:rPr>
          <w:rFonts w:asciiTheme="minorHAnsi" w:hAnsiTheme="minorHAnsi"/>
          <w:sz w:val="20"/>
          <w:szCs w:val="20"/>
        </w:rPr>
        <w:t>2009, 2010, 2011</w:t>
      </w:r>
      <w:r>
        <w:rPr>
          <w:rFonts w:asciiTheme="minorHAnsi" w:hAnsiTheme="minorHAnsi"/>
          <w:sz w:val="20"/>
          <w:szCs w:val="20"/>
        </w:rPr>
        <w:t>,</w:t>
      </w:r>
      <w:r w:rsidRPr="000908E2">
        <w:rPr>
          <w:rFonts w:asciiTheme="minorHAnsi" w:hAnsiTheme="minorHAnsi"/>
          <w:sz w:val="20"/>
          <w:szCs w:val="20"/>
        </w:rPr>
        <w:t xml:space="preserve"> 2013</w:t>
      </w:r>
      <w:r>
        <w:rPr>
          <w:rFonts w:asciiTheme="minorHAnsi" w:hAnsiTheme="minorHAnsi"/>
          <w:sz w:val="20"/>
          <w:szCs w:val="20"/>
        </w:rPr>
        <w:t xml:space="preserve"> y 2015</w:t>
      </w:r>
      <w:r w:rsidRPr="000908E2">
        <w:rPr>
          <w:rFonts w:asciiTheme="minorHAnsi" w:hAnsiTheme="minorHAnsi"/>
          <w:sz w:val="20"/>
          <w:szCs w:val="20"/>
        </w:rPr>
        <w:t>, y que se integran de la siguiente manera:</w:t>
      </w:r>
    </w:p>
    <w:p w:rsidR="00764803" w:rsidRPr="000908E2" w:rsidRDefault="00764803" w:rsidP="00764803">
      <w:pPr>
        <w:tabs>
          <w:tab w:val="left" w:pos="284"/>
        </w:tabs>
        <w:jc w:val="both"/>
        <w:rPr>
          <w:rFonts w:asciiTheme="minorHAnsi" w:hAnsiTheme="minorHAnsi" w:cs="Arial"/>
          <w:sz w:val="20"/>
          <w:szCs w:val="20"/>
        </w:rPr>
      </w:pPr>
    </w:p>
    <w:p w:rsidR="00764803" w:rsidRPr="000908E2" w:rsidRDefault="004F3223" w:rsidP="00764803">
      <w:pPr>
        <w:pStyle w:val="Prrafodelista"/>
        <w:tabs>
          <w:tab w:val="left" w:pos="426"/>
        </w:tabs>
        <w:ind w:left="0"/>
        <w:rPr>
          <w:rFonts w:asciiTheme="minorHAnsi" w:hAnsiTheme="minorHAnsi" w:cs="Arial"/>
          <w:bCs/>
          <w:sz w:val="20"/>
          <w:szCs w:val="20"/>
        </w:rPr>
      </w:pPr>
      <w:r>
        <w:rPr>
          <w:rFonts w:asciiTheme="minorHAnsi" w:hAnsiTheme="minorHAnsi" w:cs="Arial"/>
          <w:bCs/>
          <w:noProof/>
          <w:sz w:val="20"/>
          <w:szCs w:val="20"/>
        </w:rPr>
        <w:pict>
          <v:shape id="_x0000_s1484" type="#_x0000_t75" style="position:absolute;margin-left:65.25pt;margin-top:.45pt;width:388.75pt;height:86.15pt;z-index:251660288">
            <v:imagedata r:id="rId77" o:title=""/>
            <w10:wrap type="square" side="left"/>
          </v:shape>
          <o:OLEObject Type="Embed" ProgID="Excel.Sheet.8" ShapeID="_x0000_s1484" DrawAspect="Content" ObjectID="_1555199795" r:id="rId78"/>
        </w:pict>
      </w:r>
      <w:r w:rsidR="00764803" w:rsidRPr="000908E2">
        <w:rPr>
          <w:rFonts w:asciiTheme="minorHAnsi" w:hAnsiTheme="minorHAnsi" w:cs="Arial"/>
          <w:bCs/>
          <w:sz w:val="20"/>
          <w:szCs w:val="20"/>
        </w:rPr>
        <w:br w:type="textWrapping" w:clear="all"/>
      </w:r>
    </w:p>
    <w:p w:rsidR="000B52D8" w:rsidRPr="00DD1095" w:rsidRDefault="00764803" w:rsidP="00DD1095">
      <w:pPr>
        <w:pStyle w:val="Prrafodelista"/>
        <w:tabs>
          <w:tab w:val="left" w:pos="284"/>
        </w:tabs>
        <w:ind w:left="0"/>
        <w:jc w:val="both"/>
        <w:rPr>
          <w:rFonts w:asciiTheme="minorHAnsi" w:hAnsiTheme="minorHAnsi"/>
          <w:sz w:val="20"/>
          <w:szCs w:val="20"/>
        </w:rPr>
      </w:pPr>
      <w:r w:rsidRPr="000908E2">
        <w:rPr>
          <w:rFonts w:asciiTheme="minorHAnsi" w:hAnsiTheme="minorHAnsi"/>
          <w:b/>
          <w:sz w:val="20"/>
          <w:szCs w:val="20"/>
        </w:rPr>
        <w:t>3.</w:t>
      </w:r>
      <w:r w:rsidR="00787D3A">
        <w:rPr>
          <w:rFonts w:asciiTheme="minorHAnsi" w:hAnsiTheme="minorHAnsi"/>
          <w:b/>
          <w:sz w:val="20"/>
          <w:szCs w:val="20"/>
        </w:rPr>
        <w:t>2.</w:t>
      </w:r>
      <w:r>
        <w:rPr>
          <w:rFonts w:asciiTheme="minorHAnsi" w:hAnsiTheme="minorHAnsi"/>
          <w:b/>
          <w:sz w:val="20"/>
          <w:szCs w:val="20"/>
        </w:rPr>
        <w:t>5</w:t>
      </w:r>
      <w:r w:rsidRPr="000908E2">
        <w:rPr>
          <w:rFonts w:asciiTheme="minorHAnsi" w:hAnsiTheme="minorHAnsi"/>
          <w:sz w:val="20"/>
          <w:szCs w:val="20"/>
        </w:rPr>
        <w:t xml:space="preserve"> El resultado del ejercicio por el período del 1</w:t>
      </w:r>
      <w:r>
        <w:rPr>
          <w:rFonts w:asciiTheme="minorHAnsi" w:hAnsiTheme="minorHAnsi"/>
          <w:sz w:val="20"/>
          <w:szCs w:val="20"/>
        </w:rPr>
        <w:t xml:space="preserve"> de Enero al 31 de </w:t>
      </w:r>
      <w:r w:rsidR="00404BDC">
        <w:rPr>
          <w:rFonts w:asciiTheme="minorHAnsi" w:hAnsiTheme="minorHAnsi"/>
          <w:sz w:val="20"/>
          <w:szCs w:val="20"/>
        </w:rPr>
        <w:t>Marzo</w:t>
      </w:r>
      <w:r>
        <w:rPr>
          <w:rFonts w:asciiTheme="minorHAnsi" w:hAnsiTheme="minorHAnsi"/>
          <w:sz w:val="20"/>
          <w:szCs w:val="20"/>
        </w:rPr>
        <w:t xml:space="preserve"> </w:t>
      </w:r>
      <w:r w:rsidRPr="000908E2">
        <w:rPr>
          <w:rFonts w:asciiTheme="minorHAnsi" w:hAnsiTheme="minorHAnsi"/>
          <w:sz w:val="20"/>
          <w:szCs w:val="20"/>
        </w:rPr>
        <w:t>de 201</w:t>
      </w:r>
      <w:r w:rsidR="00404BDC">
        <w:rPr>
          <w:rFonts w:asciiTheme="minorHAnsi" w:hAnsiTheme="minorHAnsi"/>
          <w:sz w:val="20"/>
          <w:szCs w:val="20"/>
        </w:rPr>
        <w:t>7</w:t>
      </w:r>
      <w:r w:rsidRPr="000908E2">
        <w:rPr>
          <w:rFonts w:asciiTheme="minorHAnsi" w:hAnsiTheme="minorHAnsi"/>
          <w:sz w:val="20"/>
          <w:szCs w:val="20"/>
        </w:rPr>
        <w:t>, asciende a la cantidad de</w:t>
      </w:r>
      <w:r>
        <w:rPr>
          <w:rFonts w:asciiTheme="minorHAnsi" w:hAnsiTheme="minorHAnsi"/>
          <w:sz w:val="20"/>
          <w:szCs w:val="20"/>
        </w:rPr>
        <w:t xml:space="preserve"> </w:t>
      </w:r>
      <w:r w:rsidR="007C454A">
        <w:rPr>
          <w:rFonts w:asciiTheme="minorHAnsi" w:hAnsiTheme="minorHAnsi"/>
          <w:sz w:val="20"/>
          <w:szCs w:val="20"/>
        </w:rPr>
        <w:t xml:space="preserve">                  </w:t>
      </w:r>
      <w:r w:rsidRPr="000908E2">
        <w:rPr>
          <w:rFonts w:asciiTheme="minorHAnsi" w:hAnsiTheme="minorHAnsi"/>
          <w:sz w:val="20"/>
          <w:szCs w:val="20"/>
        </w:rPr>
        <w:t xml:space="preserve">$ </w:t>
      </w:r>
      <w:r w:rsidR="00404BDC">
        <w:rPr>
          <w:rFonts w:asciiTheme="minorHAnsi" w:hAnsiTheme="minorHAnsi"/>
          <w:sz w:val="20"/>
          <w:szCs w:val="20"/>
        </w:rPr>
        <w:t>3</w:t>
      </w:r>
      <w:r w:rsidR="007C454A">
        <w:rPr>
          <w:rFonts w:asciiTheme="minorHAnsi" w:hAnsiTheme="minorHAnsi"/>
          <w:sz w:val="20"/>
          <w:szCs w:val="20"/>
        </w:rPr>
        <w:t>´</w:t>
      </w:r>
      <w:r w:rsidR="00404BDC">
        <w:rPr>
          <w:rFonts w:asciiTheme="minorHAnsi" w:hAnsiTheme="minorHAnsi"/>
          <w:sz w:val="20"/>
          <w:szCs w:val="20"/>
        </w:rPr>
        <w:t>250,055</w:t>
      </w:r>
      <w:r>
        <w:rPr>
          <w:rFonts w:asciiTheme="minorHAnsi" w:hAnsiTheme="minorHAnsi"/>
          <w:sz w:val="20"/>
          <w:szCs w:val="20"/>
        </w:rPr>
        <w:t>.00</w:t>
      </w:r>
      <w:r w:rsidRPr="000908E2">
        <w:rPr>
          <w:rFonts w:asciiTheme="minorHAnsi" w:hAnsiTheme="minorHAnsi"/>
          <w:sz w:val="20"/>
          <w:szCs w:val="20"/>
        </w:rPr>
        <w:t xml:space="preserve"> La determinación de este importe, se detalla en el Estado de Actividades, que proviene de la diferencia entre los ingresos menos los egresos registrados en el período mencionado.</w:t>
      </w:r>
    </w:p>
    <w:p w:rsidR="000B52D8" w:rsidRPr="000908E2" w:rsidRDefault="000B52D8" w:rsidP="00764803">
      <w:pPr>
        <w:tabs>
          <w:tab w:val="left" w:pos="284"/>
        </w:tabs>
        <w:rPr>
          <w:rFonts w:asciiTheme="minorHAnsi" w:hAnsiTheme="minorHAnsi" w:cs="Arial"/>
          <w:bCs/>
          <w:sz w:val="20"/>
          <w:szCs w:val="20"/>
        </w:rPr>
      </w:pPr>
    </w:p>
    <w:p w:rsidR="00764803" w:rsidRPr="0012088A" w:rsidRDefault="00764803" w:rsidP="00DD1095">
      <w:pPr>
        <w:pStyle w:val="Prrafodelista"/>
        <w:numPr>
          <w:ilvl w:val="0"/>
          <w:numId w:val="30"/>
        </w:numPr>
        <w:tabs>
          <w:tab w:val="left" w:pos="426"/>
        </w:tabs>
        <w:rPr>
          <w:rFonts w:asciiTheme="minorHAnsi" w:hAnsiTheme="minorHAnsi"/>
          <w:b/>
          <w:sz w:val="20"/>
          <w:szCs w:val="20"/>
        </w:rPr>
      </w:pPr>
      <w:r w:rsidRPr="0012088A">
        <w:rPr>
          <w:rFonts w:asciiTheme="minorHAnsi" w:hAnsiTheme="minorHAnsi"/>
          <w:b/>
          <w:sz w:val="20"/>
          <w:szCs w:val="20"/>
        </w:rPr>
        <w:t>NOTAS AL ESTADO DE FLUJO DE EFECTIVO.</w:t>
      </w:r>
    </w:p>
    <w:p w:rsidR="00764803" w:rsidRPr="000908E2" w:rsidRDefault="00764803" w:rsidP="00764803">
      <w:pPr>
        <w:tabs>
          <w:tab w:val="left" w:pos="426"/>
        </w:tabs>
        <w:rPr>
          <w:rFonts w:asciiTheme="minorHAnsi" w:hAnsiTheme="minorHAnsi"/>
          <w:b/>
          <w:sz w:val="20"/>
          <w:szCs w:val="20"/>
        </w:rPr>
      </w:pPr>
    </w:p>
    <w:p w:rsidR="00764803" w:rsidRPr="000908E2" w:rsidRDefault="00764803" w:rsidP="00764803">
      <w:pPr>
        <w:pStyle w:val="Prrafodelista"/>
        <w:numPr>
          <w:ilvl w:val="1"/>
          <w:numId w:val="30"/>
        </w:numPr>
        <w:tabs>
          <w:tab w:val="left" w:pos="426"/>
        </w:tabs>
        <w:rPr>
          <w:rFonts w:asciiTheme="minorHAnsi" w:hAnsiTheme="minorHAnsi"/>
          <w:b/>
          <w:sz w:val="20"/>
          <w:szCs w:val="20"/>
        </w:rPr>
      </w:pPr>
      <w:r w:rsidRPr="000908E2">
        <w:rPr>
          <w:rFonts w:asciiTheme="minorHAnsi" w:hAnsiTheme="minorHAnsi"/>
          <w:b/>
          <w:sz w:val="20"/>
          <w:szCs w:val="20"/>
        </w:rPr>
        <w:t>Efectivo y equivalente.</w:t>
      </w:r>
    </w:p>
    <w:p w:rsidR="00764803" w:rsidRPr="000908E2" w:rsidRDefault="00764803" w:rsidP="00764803">
      <w:pPr>
        <w:pStyle w:val="Prrafodelista"/>
        <w:tabs>
          <w:tab w:val="left" w:pos="426"/>
        </w:tabs>
        <w:ind w:left="0"/>
        <w:rPr>
          <w:rFonts w:asciiTheme="minorHAnsi" w:hAnsiTheme="minorHAnsi"/>
          <w:b/>
          <w:sz w:val="20"/>
          <w:szCs w:val="20"/>
        </w:rPr>
      </w:pPr>
    </w:p>
    <w:p w:rsidR="00764803" w:rsidRPr="000908E2" w:rsidRDefault="00764803" w:rsidP="00764803">
      <w:pPr>
        <w:pStyle w:val="Prrafodelista"/>
        <w:tabs>
          <w:tab w:val="left" w:pos="284"/>
        </w:tabs>
        <w:ind w:left="0"/>
        <w:jc w:val="both"/>
        <w:rPr>
          <w:rFonts w:asciiTheme="minorHAnsi" w:hAnsiTheme="minorHAnsi"/>
          <w:sz w:val="20"/>
          <w:szCs w:val="20"/>
        </w:rPr>
      </w:pPr>
      <w:r w:rsidRPr="000908E2">
        <w:rPr>
          <w:rFonts w:asciiTheme="minorHAnsi" w:hAnsiTheme="minorHAnsi"/>
          <w:sz w:val="20"/>
          <w:szCs w:val="20"/>
        </w:rPr>
        <w:t>El análisis de los saldos inicial y final que figuran en la última parte del Estado de Flujo de Efectivo en la cuenta de efectivo y equivalentes está integrado de la siguiente manera:</w:t>
      </w:r>
    </w:p>
    <w:p w:rsidR="00764803" w:rsidRPr="000908E2" w:rsidRDefault="00764803" w:rsidP="00764803">
      <w:pPr>
        <w:jc w:val="both"/>
        <w:rPr>
          <w:rFonts w:asciiTheme="minorHAnsi" w:hAnsiTheme="minorHAnsi"/>
          <w:sz w:val="20"/>
          <w:szCs w:val="20"/>
        </w:rPr>
      </w:pPr>
    </w:p>
    <w:bookmarkStart w:id="35" w:name="_MON_1498574457"/>
    <w:bookmarkEnd w:id="35"/>
    <w:p w:rsidR="00764803" w:rsidRPr="000908E2" w:rsidRDefault="00404BDC" w:rsidP="00764803">
      <w:pPr>
        <w:jc w:val="center"/>
        <w:rPr>
          <w:rFonts w:asciiTheme="minorHAnsi" w:hAnsiTheme="minorHAnsi"/>
          <w:sz w:val="20"/>
          <w:szCs w:val="20"/>
        </w:rPr>
      </w:pPr>
      <w:r w:rsidRPr="000908E2">
        <w:rPr>
          <w:rFonts w:asciiTheme="minorHAnsi" w:hAnsiTheme="minorHAnsi" w:cs="Arial"/>
          <w:bCs/>
          <w:sz w:val="20"/>
          <w:szCs w:val="20"/>
        </w:rPr>
        <w:object w:dxaOrig="7020" w:dyaOrig="2027">
          <v:shape id="_x0000_i1054" type="#_x0000_t75" style="width:348pt;height:102.6pt" o:ole="">
            <v:imagedata r:id="rId79" o:title=""/>
          </v:shape>
          <o:OLEObject Type="Embed" ProgID="Excel.Sheet.8" ShapeID="_x0000_i1054" DrawAspect="Content" ObjectID="_1555199785" r:id="rId80"/>
        </w:object>
      </w:r>
    </w:p>
    <w:p w:rsidR="00764803" w:rsidRDefault="00764803" w:rsidP="00764803">
      <w:pPr>
        <w:tabs>
          <w:tab w:val="left" w:pos="426"/>
        </w:tabs>
        <w:jc w:val="both"/>
        <w:rPr>
          <w:rFonts w:asciiTheme="minorHAnsi" w:hAnsiTheme="minorHAnsi"/>
          <w:sz w:val="20"/>
          <w:szCs w:val="20"/>
        </w:rPr>
      </w:pPr>
      <w:bookmarkStart w:id="36" w:name="_MON_1458654406"/>
      <w:bookmarkEnd w:id="36"/>
    </w:p>
    <w:p w:rsidR="00764803" w:rsidRPr="000908E2" w:rsidRDefault="00764803" w:rsidP="00764803">
      <w:pPr>
        <w:tabs>
          <w:tab w:val="left" w:pos="426"/>
        </w:tabs>
        <w:jc w:val="both"/>
        <w:rPr>
          <w:rFonts w:asciiTheme="minorHAnsi" w:hAnsiTheme="minorHAnsi"/>
          <w:sz w:val="20"/>
          <w:szCs w:val="20"/>
        </w:rPr>
      </w:pPr>
      <w:r w:rsidRPr="000908E2">
        <w:rPr>
          <w:rFonts w:asciiTheme="minorHAnsi" w:hAnsiTheme="minorHAnsi"/>
          <w:sz w:val="20"/>
          <w:szCs w:val="20"/>
        </w:rPr>
        <w:t xml:space="preserve">Conciliación del Flujo de Efectivo Neto de la Actividades de Operación y la cuenta de Ahorro / Desahorro antes </w:t>
      </w:r>
    </w:p>
    <w:p w:rsidR="00764803" w:rsidRPr="000908E2" w:rsidRDefault="00764803" w:rsidP="00764803">
      <w:pPr>
        <w:tabs>
          <w:tab w:val="left" w:pos="426"/>
        </w:tabs>
        <w:jc w:val="both"/>
        <w:rPr>
          <w:rFonts w:asciiTheme="minorHAnsi" w:hAnsiTheme="minorHAnsi"/>
          <w:sz w:val="20"/>
          <w:szCs w:val="20"/>
        </w:rPr>
      </w:pPr>
      <w:proofErr w:type="gramStart"/>
      <w:r w:rsidRPr="000908E2">
        <w:rPr>
          <w:rFonts w:asciiTheme="minorHAnsi" w:hAnsiTheme="minorHAnsi"/>
          <w:sz w:val="20"/>
          <w:szCs w:val="20"/>
        </w:rPr>
        <w:t>de</w:t>
      </w:r>
      <w:proofErr w:type="gramEnd"/>
      <w:r w:rsidRPr="000908E2">
        <w:rPr>
          <w:rFonts w:asciiTheme="minorHAnsi" w:hAnsiTheme="minorHAnsi"/>
          <w:sz w:val="20"/>
          <w:szCs w:val="20"/>
        </w:rPr>
        <w:t xml:space="preserve"> los Rubros Extraordinarios:</w:t>
      </w:r>
    </w:p>
    <w:p w:rsidR="00764803" w:rsidRPr="000908E2" w:rsidRDefault="00764803" w:rsidP="00764803">
      <w:pPr>
        <w:tabs>
          <w:tab w:val="left" w:pos="426"/>
        </w:tabs>
        <w:jc w:val="both"/>
        <w:rPr>
          <w:rFonts w:asciiTheme="minorHAnsi" w:hAnsiTheme="minorHAnsi"/>
          <w:sz w:val="20"/>
          <w:szCs w:val="20"/>
        </w:rPr>
      </w:pPr>
    </w:p>
    <w:bookmarkStart w:id="37" w:name="_MON_1498574549"/>
    <w:bookmarkEnd w:id="37"/>
    <w:p w:rsidR="00764803" w:rsidRDefault="00EB1786" w:rsidP="00764803">
      <w:pPr>
        <w:tabs>
          <w:tab w:val="left" w:pos="426"/>
        </w:tabs>
        <w:jc w:val="center"/>
        <w:rPr>
          <w:rFonts w:asciiTheme="minorHAnsi" w:hAnsiTheme="minorHAnsi" w:cs="Arial"/>
          <w:bCs/>
          <w:sz w:val="20"/>
          <w:szCs w:val="20"/>
        </w:rPr>
      </w:pPr>
      <w:r w:rsidRPr="000908E2">
        <w:rPr>
          <w:rFonts w:asciiTheme="minorHAnsi" w:hAnsiTheme="minorHAnsi" w:cs="Arial"/>
          <w:bCs/>
          <w:sz w:val="20"/>
          <w:szCs w:val="20"/>
        </w:rPr>
        <w:object w:dxaOrig="8553" w:dyaOrig="2332">
          <v:shape id="_x0000_i1055" type="#_x0000_t75" style="width:426.6pt;height:118.8pt" o:ole="">
            <v:imagedata r:id="rId81" o:title=""/>
          </v:shape>
          <o:OLEObject Type="Embed" ProgID="Excel.Sheet.8" ShapeID="_x0000_i1055" DrawAspect="Content" ObjectID="_1555199786" r:id="rId82"/>
        </w:object>
      </w:r>
      <w:bookmarkStart w:id="38" w:name="_MON_1458654509"/>
      <w:bookmarkEnd w:id="38"/>
    </w:p>
    <w:p w:rsidR="00764803" w:rsidRDefault="00764803" w:rsidP="00764803">
      <w:pPr>
        <w:tabs>
          <w:tab w:val="left" w:pos="426"/>
        </w:tabs>
        <w:jc w:val="center"/>
        <w:rPr>
          <w:rFonts w:asciiTheme="minorHAnsi" w:hAnsiTheme="minorHAnsi"/>
          <w:sz w:val="20"/>
          <w:szCs w:val="20"/>
        </w:rPr>
      </w:pPr>
    </w:p>
    <w:p w:rsidR="00DD1095" w:rsidRPr="00180F43" w:rsidRDefault="00DD1095" w:rsidP="00764803">
      <w:pPr>
        <w:tabs>
          <w:tab w:val="left" w:pos="426"/>
        </w:tabs>
        <w:rPr>
          <w:rFonts w:asciiTheme="minorHAnsi" w:hAnsiTheme="minorHAnsi"/>
          <w:sz w:val="20"/>
          <w:szCs w:val="20"/>
        </w:rPr>
      </w:pPr>
    </w:p>
    <w:p w:rsidR="00764803" w:rsidRPr="000908E2" w:rsidRDefault="00764803" w:rsidP="00764803">
      <w:pPr>
        <w:pStyle w:val="Prrafodelista"/>
        <w:numPr>
          <w:ilvl w:val="0"/>
          <w:numId w:val="30"/>
        </w:numPr>
        <w:tabs>
          <w:tab w:val="left" w:pos="0"/>
          <w:tab w:val="left" w:pos="426"/>
        </w:tabs>
        <w:ind w:left="0" w:firstLine="0"/>
        <w:rPr>
          <w:rFonts w:asciiTheme="minorHAnsi" w:hAnsiTheme="minorHAnsi"/>
          <w:b/>
          <w:sz w:val="20"/>
          <w:szCs w:val="20"/>
        </w:rPr>
      </w:pPr>
      <w:r w:rsidRPr="000908E2">
        <w:rPr>
          <w:rFonts w:asciiTheme="minorHAnsi" w:hAnsiTheme="minorHAnsi"/>
          <w:b/>
          <w:sz w:val="20"/>
          <w:szCs w:val="20"/>
        </w:rPr>
        <w:t>CONCILIACIÓN ENTRE LOS INGRESOS PRESUPUESTARIOS Y CONTABLES, ASÍ COMO ENTRE LOS EGRESOS PRESUPUESTARIOS Y LOS GASTOS CONTABLES.</w:t>
      </w:r>
    </w:p>
    <w:p w:rsidR="00764803" w:rsidRPr="000908E2" w:rsidRDefault="00764803" w:rsidP="00764803">
      <w:pPr>
        <w:tabs>
          <w:tab w:val="left" w:pos="426"/>
        </w:tabs>
        <w:rPr>
          <w:rFonts w:asciiTheme="minorHAnsi" w:hAnsiTheme="minorHAnsi"/>
          <w:b/>
          <w:sz w:val="20"/>
          <w:szCs w:val="20"/>
        </w:rPr>
      </w:pPr>
    </w:p>
    <w:p w:rsidR="00764803" w:rsidRPr="000908E2" w:rsidRDefault="00764803" w:rsidP="00764803">
      <w:pPr>
        <w:tabs>
          <w:tab w:val="left" w:pos="426"/>
        </w:tabs>
        <w:jc w:val="both"/>
        <w:rPr>
          <w:rFonts w:asciiTheme="minorHAnsi" w:hAnsiTheme="minorHAnsi"/>
          <w:sz w:val="20"/>
          <w:szCs w:val="20"/>
        </w:rPr>
      </w:pPr>
      <w:r w:rsidRPr="000908E2">
        <w:rPr>
          <w:rFonts w:asciiTheme="minorHAnsi" w:hAnsiTheme="minorHAnsi"/>
          <w:sz w:val="20"/>
          <w:szCs w:val="20"/>
        </w:rPr>
        <w:t>La conciliación se presenta, atendiendo a lo dispuesto por el acuerdo por el que se emite el formato de conciliación entre los ingresos presupuestarios y contables, así como entre los egresos presupuestarios y los gastos contables.</w:t>
      </w:r>
    </w:p>
    <w:p w:rsidR="00764803" w:rsidRPr="000908E2" w:rsidRDefault="00764803" w:rsidP="00764803">
      <w:pPr>
        <w:tabs>
          <w:tab w:val="left" w:pos="426"/>
        </w:tabs>
        <w:jc w:val="both"/>
        <w:rPr>
          <w:rFonts w:asciiTheme="minorHAnsi" w:hAnsiTheme="minorHAnsi"/>
          <w:sz w:val="20"/>
          <w:szCs w:val="20"/>
        </w:rPr>
      </w:pPr>
    </w:p>
    <w:bookmarkStart w:id="39" w:name="_MON_1498574725"/>
    <w:bookmarkEnd w:id="39"/>
    <w:p w:rsidR="00764803" w:rsidRPr="000908E2" w:rsidRDefault="008B741F" w:rsidP="00764803">
      <w:pPr>
        <w:tabs>
          <w:tab w:val="left" w:pos="426"/>
        </w:tabs>
        <w:jc w:val="center"/>
        <w:rPr>
          <w:rFonts w:asciiTheme="minorHAnsi" w:hAnsiTheme="minorHAnsi"/>
          <w:sz w:val="20"/>
          <w:szCs w:val="20"/>
        </w:rPr>
      </w:pPr>
      <w:r w:rsidRPr="000908E2">
        <w:rPr>
          <w:rFonts w:asciiTheme="minorHAnsi" w:hAnsiTheme="minorHAnsi"/>
          <w:sz w:val="20"/>
          <w:szCs w:val="20"/>
        </w:rPr>
        <w:object w:dxaOrig="9202" w:dyaOrig="4305">
          <v:shape id="_x0000_i1056" type="#_x0000_t75" style="width:462pt;height:3in" o:ole="">
            <v:imagedata r:id="rId83" o:title=""/>
          </v:shape>
          <o:OLEObject Type="Embed" ProgID="Excel.Sheet.12" ShapeID="_x0000_i1056" DrawAspect="Content" ObjectID="_1555199787" r:id="rId84"/>
        </w:object>
      </w:r>
    </w:p>
    <w:p w:rsidR="00764803" w:rsidRPr="000908E2" w:rsidRDefault="00764803" w:rsidP="00764803">
      <w:pPr>
        <w:tabs>
          <w:tab w:val="left" w:pos="426"/>
        </w:tabs>
        <w:jc w:val="center"/>
        <w:rPr>
          <w:rFonts w:asciiTheme="minorHAnsi" w:hAnsiTheme="minorHAnsi"/>
          <w:sz w:val="20"/>
          <w:szCs w:val="20"/>
        </w:rPr>
      </w:pPr>
    </w:p>
    <w:p w:rsidR="00510166" w:rsidRPr="000908E2" w:rsidRDefault="00510166" w:rsidP="00DD1095">
      <w:pPr>
        <w:tabs>
          <w:tab w:val="left" w:pos="426"/>
        </w:tabs>
        <w:rPr>
          <w:rFonts w:asciiTheme="minorHAnsi" w:hAnsiTheme="minorHAnsi"/>
          <w:sz w:val="20"/>
          <w:szCs w:val="20"/>
        </w:rPr>
      </w:pPr>
    </w:p>
    <w:bookmarkStart w:id="40" w:name="_MON_1498574800"/>
    <w:bookmarkEnd w:id="40"/>
    <w:p w:rsidR="00764803" w:rsidRPr="000908E2" w:rsidRDefault="00EB1786" w:rsidP="00764803">
      <w:pPr>
        <w:tabs>
          <w:tab w:val="left" w:pos="426"/>
        </w:tabs>
        <w:jc w:val="both"/>
        <w:rPr>
          <w:rFonts w:asciiTheme="minorHAnsi" w:hAnsiTheme="minorHAnsi"/>
          <w:sz w:val="20"/>
          <w:szCs w:val="20"/>
        </w:rPr>
      </w:pPr>
      <w:r w:rsidRPr="000908E2">
        <w:rPr>
          <w:rFonts w:asciiTheme="minorHAnsi" w:hAnsiTheme="minorHAnsi"/>
          <w:sz w:val="20"/>
          <w:szCs w:val="20"/>
        </w:rPr>
        <w:object w:dxaOrig="9375" w:dyaOrig="8285">
          <v:shape id="_x0000_i1057" type="#_x0000_t75" style="width:468pt;height:412.2pt" o:ole="">
            <v:imagedata r:id="rId85" o:title=""/>
          </v:shape>
          <o:OLEObject Type="Embed" ProgID="Excel.Sheet.12" ShapeID="_x0000_i1057" DrawAspect="Content" ObjectID="_1555199788" r:id="rId86"/>
        </w:object>
      </w:r>
    </w:p>
    <w:p w:rsidR="00764803" w:rsidRPr="000908E2" w:rsidRDefault="00764803" w:rsidP="00764803">
      <w:pPr>
        <w:pStyle w:val="Prrafodelista"/>
        <w:numPr>
          <w:ilvl w:val="0"/>
          <w:numId w:val="15"/>
        </w:numPr>
        <w:tabs>
          <w:tab w:val="left" w:pos="426"/>
        </w:tabs>
        <w:ind w:left="0" w:firstLine="0"/>
        <w:rPr>
          <w:rFonts w:asciiTheme="minorHAnsi" w:hAnsiTheme="minorHAnsi"/>
          <w:b/>
          <w:sz w:val="20"/>
          <w:szCs w:val="20"/>
        </w:rPr>
      </w:pPr>
      <w:r w:rsidRPr="000908E2">
        <w:rPr>
          <w:rFonts w:asciiTheme="minorHAnsi" w:hAnsiTheme="minorHAnsi"/>
          <w:b/>
          <w:sz w:val="20"/>
          <w:szCs w:val="20"/>
        </w:rPr>
        <w:t>NOTAS DE MEMORIA.</w:t>
      </w:r>
    </w:p>
    <w:p w:rsidR="00764803" w:rsidRPr="000908E2" w:rsidRDefault="00764803" w:rsidP="00764803">
      <w:pPr>
        <w:jc w:val="both"/>
        <w:rPr>
          <w:rFonts w:asciiTheme="minorHAnsi" w:hAnsiTheme="minorHAnsi"/>
          <w:sz w:val="20"/>
          <w:szCs w:val="20"/>
        </w:rPr>
      </w:pPr>
    </w:p>
    <w:p w:rsidR="00764803" w:rsidRPr="000908E2" w:rsidRDefault="00764803" w:rsidP="00764803">
      <w:pPr>
        <w:pStyle w:val="Prrafodelista"/>
        <w:numPr>
          <w:ilvl w:val="0"/>
          <w:numId w:val="13"/>
        </w:numPr>
        <w:tabs>
          <w:tab w:val="left" w:pos="284"/>
        </w:tabs>
        <w:ind w:left="284" w:hanging="284"/>
        <w:jc w:val="both"/>
        <w:rPr>
          <w:rFonts w:asciiTheme="minorHAnsi" w:hAnsiTheme="minorHAnsi"/>
          <w:sz w:val="20"/>
          <w:szCs w:val="20"/>
        </w:rPr>
      </w:pPr>
      <w:r w:rsidRPr="000908E2">
        <w:rPr>
          <w:rFonts w:asciiTheme="minorHAnsi" w:hAnsiTheme="minorHAnsi"/>
          <w:sz w:val="20"/>
          <w:szCs w:val="20"/>
        </w:rPr>
        <w:t xml:space="preserve">A continuación se detallan las cuentas de orden presupuestarias al </w:t>
      </w:r>
      <w:r>
        <w:rPr>
          <w:rFonts w:asciiTheme="minorHAnsi" w:hAnsiTheme="minorHAnsi"/>
          <w:sz w:val="20"/>
          <w:szCs w:val="20"/>
        </w:rPr>
        <w:t>31</w:t>
      </w:r>
      <w:r w:rsidRPr="000908E2">
        <w:rPr>
          <w:rFonts w:asciiTheme="minorHAnsi" w:hAnsiTheme="minorHAnsi"/>
          <w:sz w:val="20"/>
          <w:szCs w:val="20"/>
        </w:rPr>
        <w:t xml:space="preserve"> de </w:t>
      </w:r>
      <w:r w:rsidR="000B52D8">
        <w:rPr>
          <w:rFonts w:asciiTheme="minorHAnsi" w:hAnsiTheme="minorHAnsi"/>
          <w:sz w:val="20"/>
          <w:szCs w:val="20"/>
        </w:rPr>
        <w:t xml:space="preserve">Marzo </w:t>
      </w:r>
      <w:r w:rsidRPr="000908E2">
        <w:rPr>
          <w:rFonts w:asciiTheme="minorHAnsi" w:hAnsiTheme="minorHAnsi"/>
          <w:sz w:val="20"/>
          <w:szCs w:val="20"/>
        </w:rPr>
        <w:t>de 201</w:t>
      </w:r>
      <w:r w:rsidR="000B52D8">
        <w:rPr>
          <w:rFonts w:asciiTheme="minorHAnsi" w:hAnsiTheme="minorHAnsi"/>
          <w:sz w:val="20"/>
          <w:szCs w:val="20"/>
        </w:rPr>
        <w:t>7</w:t>
      </w:r>
      <w:r w:rsidRPr="000908E2">
        <w:rPr>
          <w:rFonts w:asciiTheme="minorHAnsi" w:hAnsiTheme="minorHAnsi"/>
          <w:sz w:val="20"/>
          <w:szCs w:val="20"/>
        </w:rPr>
        <w:t>:</w:t>
      </w:r>
    </w:p>
    <w:p w:rsidR="00764803" w:rsidRPr="000908E2" w:rsidRDefault="00764803" w:rsidP="00764803">
      <w:pPr>
        <w:jc w:val="both"/>
        <w:rPr>
          <w:rFonts w:asciiTheme="minorHAnsi" w:hAnsiTheme="minorHAnsi"/>
          <w:sz w:val="20"/>
          <w:szCs w:val="20"/>
        </w:rPr>
      </w:pPr>
    </w:p>
    <w:p w:rsidR="00764803" w:rsidRPr="000908E2" w:rsidRDefault="00764803" w:rsidP="00764803">
      <w:pPr>
        <w:jc w:val="both"/>
        <w:rPr>
          <w:rFonts w:asciiTheme="minorHAnsi" w:hAnsiTheme="minorHAnsi"/>
          <w:sz w:val="20"/>
          <w:szCs w:val="20"/>
        </w:rPr>
      </w:pPr>
    </w:p>
    <w:bookmarkStart w:id="41" w:name="_MON_1458662090"/>
    <w:bookmarkEnd w:id="41"/>
    <w:p w:rsidR="00764803" w:rsidRPr="00262D4B" w:rsidRDefault="000B52D8" w:rsidP="00764803">
      <w:pPr>
        <w:jc w:val="both"/>
        <w:rPr>
          <w:rFonts w:asciiTheme="minorHAnsi" w:hAnsiTheme="minorHAnsi" w:cs="Arial"/>
          <w:bCs/>
          <w:sz w:val="20"/>
          <w:szCs w:val="20"/>
        </w:rPr>
      </w:pPr>
      <w:r w:rsidRPr="000908E2">
        <w:rPr>
          <w:rFonts w:asciiTheme="minorHAnsi" w:hAnsiTheme="minorHAnsi" w:cs="Arial"/>
          <w:bCs/>
          <w:sz w:val="20"/>
          <w:szCs w:val="20"/>
        </w:rPr>
        <w:object w:dxaOrig="8893" w:dyaOrig="2339">
          <v:shape id="_x0000_i1058" type="#_x0000_t75" style="width:444pt;height:117pt" o:ole="">
            <v:imagedata r:id="rId87" o:title=""/>
          </v:shape>
          <o:OLEObject Type="Embed" ProgID="Excel.Sheet.8" ShapeID="_x0000_i1058" DrawAspect="Content" ObjectID="_1555199789" r:id="rId88"/>
        </w:object>
      </w:r>
    </w:p>
    <w:p w:rsidR="00764803" w:rsidRPr="000908E2" w:rsidRDefault="00764803" w:rsidP="00764803">
      <w:pPr>
        <w:pStyle w:val="Textoindependiente2"/>
        <w:tabs>
          <w:tab w:val="left" w:pos="7965"/>
        </w:tabs>
        <w:rPr>
          <w:rFonts w:asciiTheme="minorHAnsi" w:hAnsiTheme="minorHAnsi"/>
          <w:sz w:val="20"/>
          <w:szCs w:val="20"/>
        </w:rPr>
      </w:pPr>
      <w:r w:rsidRPr="000908E2">
        <w:rPr>
          <w:rFonts w:asciiTheme="minorHAnsi" w:hAnsiTheme="minorHAnsi"/>
          <w:sz w:val="20"/>
          <w:szCs w:val="20"/>
        </w:rPr>
        <w:tab/>
      </w:r>
    </w:p>
    <w:p w:rsidR="00764803" w:rsidRPr="000908E2" w:rsidRDefault="00764803" w:rsidP="00764803">
      <w:pPr>
        <w:jc w:val="both"/>
        <w:rPr>
          <w:rFonts w:asciiTheme="minorHAnsi" w:hAnsiTheme="minorHAnsi"/>
          <w:sz w:val="20"/>
          <w:szCs w:val="20"/>
        </w:rPr>
      </w:pPr>
      <w:r w:rsidRPr="000908E2">
        <w:rPr>
          <w:rFonts w:asciiTheme="minorHAnsi" w:hAnsiTheme="minorHAnsi"/>
          <w:sz w:val="20"/>
          <w:szCs w:val="20"/>
        </w:rPr>
        <w:t>Estas notas son parte integrante de los estados financi</w:t>
      </w:r>
      <w:r>
        <w:rPr>
          <w:rFonts w:asciiTheme="minorHAnsi" w:hAnsiTheme="minorHAnsi"/>
          <w:sz w:val="20"/>
          <w:szCs w:val="20"/>
        </w:rPr>
        <w:t>eros al 31</w:t>
      </w:r>
      <w:r w:rsidRPr="000908E2">
        <w:rPr>
          <w:rFonts w:asciiTheme="minorHAnsi" w:hAnsiTheme="minorHAnsi"/>
          <w:sz w:val="20"/>
          <w:szCs w:val="20"/>
        </w:rPr>
        <w:t xml:space="preserve"> de </w:t>
      </w:r>
      <w:r w:rsidR="000B52D8">
        <w:rPr>
          <w:rFonts w:asciiTheme="minorHAnsi" w:hAnsiTheme="minorHAnsi"/>
          <w:sz w:val="20"/>
          <w:szCs w:val="20"/>
        </w:rPr>
        <w:t>Marzo</w:t>
      </w:r>
      <w:r>
        <w:rPr>
          <w:rFonts w:asciiTheme="minorHAnsi" w:hAnsiTheme="minorHAnsi"/>
          <w:sz w:val="20"/>
          <w:szCs w:val="20"/>
        </w:rPr>
        <w:t xml:space="preserve"> </w:t>
      </w:r>
      <w:r w:rsidRPr="000908E2">
        <w:rPr>
          <w:rFonts w:asciiTheme="minorHAnsi" w:hAnsiTheme="minorHAnsi"/>
          <w:sz w:val="20"/>
          <w:szCs w:val="20"/>
        </w:rPr>
        <w:t>de 201</w:t>
      </w:r>
      <w:r w:rsidR="000B52D8">
        <w:rPr>
          <w:rFonts w:asciiTheme="minorHAnsi" w:hAnsiTheme="minorHAnsi"/>
          <w:sz w:val="20"/>
          <w:szCs w:val="20"/>
        </w:rPr>
        <w:t>7</w:t>
      </w:r>
      <w:r>
        <w:rPr>
          <w:rFonts w:asciiTheme="minorHAnsi" w:hAnsiTheme="minorHAnsi"/>
          <w:sz w:val="20"/>
          <w:szCs w:val="20"/>
        </w:rPr>
        <w:t>.</w:t>
      </w:r>
    </w:p>
    <w:p w:rsidR="00764803" w:rsidRPr="00EE324B" w:rsidRDefault="00764803" w:rsidP="00764803">
      <w:pPr>
        <w:tabs>
          <w:tab w:val="left" w:pos="2475"/>
        </w:tabs>
        <w:jc w:val="both"/>
        <w:rPr>
          <w:rFonts w:asciiTheme="minorHAnsi" w:hAnsiTheme="minorHAnsi"/>
          <w:sz w:val="20"/>
          <w:szCs w:val="20"/>
        </w:rPr>
      </w:pPr>
      <w:r w:rsidRPr="00EE324B">
        <w:rPr>
          <w:rFonts w:asciiTheme="minorHAnsi" w:hAnsiTheme="minorHAnsi"/>
          <w:sz w:val="20"/>
          <w:szCs w:val="20"/>
        </w:rPr>
        <w:tab/>
      </w:r>
    </w:p>
    <w:p w:rsidR="008B5DDB" w:rsidRPr="000908E2" w:rsidRDefault="008B5DDB" w:rsidP="00510166">
      <w:pPr>
        <w:tabs>
          <w:tab w:val="left" w:pos="2475"/>
        </w:tabs>
        <w:jc w:val="both"/>
        <w:rPr>
          <w:rFonts w:asciiTheme="minorHAnsi" w:hAnsiTheme="minorHAnsi"/>
          <w:sz w:val="20"/>
          <w:szCs w:val="20"/>
        </w:rPr>
      </w:pPr>
    </w:p>
    <w:p w:rsidR="00A46F71" w:rsidRPr="000908E2" w:rsidRDefault="00A46F71" w:rsidP="00A46F71">
      <w:pPr>
        <w:jc w:val="center"/>
        <w:rPr>
          <w:rFonts w:asciiTheme="minorHAnsi" w:hAnsiTheme="minorHAnsi"/>
          <w:sz w:val="20"/>
          <w:szCs w:val="20"/>
        </w:rPr>
      </w:pPr>
      <w:r w:rsidRPr="000908E2">
        <w:rPr>
          <w:rFonts w:asciiTheme="minorHAnsi" w:hAnsiTheme="minorHAnsi"/>
          <w:sz w:val="20"/>
          <w:szCs w:val="20"/>
        </w:rPr>
        <w:t>“Bajo protesta de decir verdad declaramos que los Estados Financieros y sus notas,</w:t>
      </w:r>
    </w:p>
    <w:p w:rsidR="00A46F71" w:rsidRPr="000908E2" w:rsidRDefault="00A46F71" w:rsidP="00A46F71">
      <w:pPr>
        <w:jc w:val="center"/>
        <w:rPr>
          <w:rFonts w:asciiTheme="minorHAnsi" w:hAnsiTheme="minorHAnsi" w:cs="Arial"/>
          <w:bCs/>
          <w:sz w:val="20"/>
          <w:szCs w:val="20"/>
        </w:rPr>
      </w:pPr>
      <w:proofErr w:type="gramStart"/>
      <w:r w:rsidRPr="000908E2">
        <w:rPr>
          <w:rFonts w:asciiTheme="minorHAnsi" w:hAnsiTheme="minorHAnsi"/>
          <w:sz w:val="20"/>
          <w:szCs w:val="20"/>
        </w:rPr>
        <w:t>son</w:t>
      </w:r>
      <w:proofErr w:type="gramEnd"/>
      <w:r w:rsidRPr="000908E2">
        <w:rPr>
          <w:rFonts w:asciiTheme="minorHAnsi" w:hAnsiTheme="minorHAnsi"/>
          <w:sz w:val="20"/>
          <w:szCs w:val="20"/>
        </w:rPr>
        <w:t xml:space="preserve"> razonablemente correctos y son responsables del emisor”</w:t>
      </w:r>
    </w:p>
    <w:p w:rsidR="00CE128A" w:rsidRPr="000908E2" w:rsidRDefault="00CE128A" w:rsidP="00CB74C3">
      <w:pPr>
        <w:rPr>
          <w:rFonts w:asciiTheme="minorHAnsi" w:hAnsiTheme="minorHAnsi" w:cs="Arial"/>
          <w:bCs/>
          <w:sz w:val="20"/>
          <w:szCs w:val="20"/>
        </w:rPr>
      </w:pPr>
    </w:p>
    <w:p w:rsidR="00B45459" w:rsidRPr="000908E2" w:rsidRDefault="00B45459" w:rsidP="00CB74C3">
      <w:pPr>
        <w:rPr>
          <w:rFonts w:asciiTheme="minorHAnsi" w:hAnsiTheme="minorHAnsi" w:cs="Arial"/>
          <w:bCs/>
          <w:sz w:val="20"/>
          <w:szCs w:val="20"/>
        </w:rPr>
      </w:pPr>
    </w:p>
    <w:p w:rsidR="003842B5" w:rsidRPr="000908E2" w:rsidRDefault="003842B5" w:rsidP="00CB74C3">
      <w:pPr>
        <w:rPr>
          <w:rFonts w:asciiTheme="minorHAnsi" w:hAnsiTheme="minorHAnsi" w:cs="Arial"/>
          <w:bCs/>
          <w:sz w:val="20"/>
          <w:szCs w:val="20"/>
        </w:rPr>
      </w:pPr>
    </w:p>
    <w:p w:rsidR="003842B5" w:rsidRPr="000908E2" w:rsidRDefault="003842B5" w:rsidP="00CB74C3">
      <w:pPr>
        <w:rPr>
          <w:rFonts w:asciiTheme="minorHAnsi" w:hAnsiTheme="minorHAnsi" w:cs="Arial"/>
          <w:bCs/>
          <w:sz w:val="20"/>
          <w:szCs w:val="20"/>
        </w:rPr>
      </w:pPr>
      <w:bookmarkStart w:id="42" w:name="_GoBack"/>
      <w:bookmarkEnd w:id="42"/>
    </w:p>
    <w:sectPr w:rsidR="003842B5" w:rsidRPr="000908E2" w:rsidSect="00DA0E58">
      <w:headerReference w:type="default" r:id="rId89"/>
      <w:footerReference w:type="even" r:id="rId90"/>
      <w:footerReference w:type="default" r:id="rId91"/>
      <w:pgSz w:w="12240" w:h="15840"/>
      <w:pgMar w:top="1701" w:right="1608" w:bottom="567" w:left="1134" w:header="57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23" w:rsidRDefault="004F3223">
      <w:r>
        <w:separator/>
      </w:r>
    </w:p>
  </w:endnote>
  <w:endnote w:type="continuationSeparator" w:id="0">
    <w:p w:rsidR="004F3223" w:rsidRDefault="004F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Segoe UI"/>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E1" w:rsidRDefault="007B33E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33E1" w:rsidRDefault="007B33E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E1" w:rsidRDefault="007B33E1">
    <w:pPr>
      <w:pStyle w:val="Piedepgina"/>
      <w:ind w:right="360"/>
      <w:rPr>
        <w:color w:val="C0C0C0"/>
        <w:sz w:val="16"/>
      </w:rPr>
    </w:pPr>
  </w:p>
  <w:p w:rsidR="007B33E1" w:rsidRDefault="007B33E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23" w:rsidRDefault="004F3223">
      <w:r>
        <w:separator/>
      </w:r>
    </w:p>
  </w:footnote>
  <w:footnote w:type="continuationSeparator" w:id="0">
    <w:p w:rsidR="004F3223" w:rsidRDefault="004F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E1" w:rsidRDefault="007B33E1" w:rsidP="00E516EB">
    <w:pPr>
      <w:pStyle w:val="Encabezado"/>
      <w:jc w:val="center"/>
      <w:rPr>
        <w:rFonts w:ascii="Calibri" w:hAnsi="Calibri"/>
        <w:b/>
        <w:sz w:val="22"/>
        <w:szCs w:val="22"/>
        <w:lang w:val="es-ES"/>
      </w:rPr>
    </w:pPr>
    <w:r>
      <w:rPr>
        <w:noProof/>
        <w:lang w:eastAsia="es-MX"/>
      </w:rPr>
      <w:drawing>
        <wp:anchor distT="0" distB="0" distL="114300" distR="114300" simplePos="0" relativeHeight="251657728" behindDoc="1" locked="0" layoutInCell="1" allowOverlap="1" wp14:anchorId="0E49AAF0" wp14:editId="3B2F6087">
          <wp:simplePos x="0" y="0"/>
          <wp:positionH relativeFrom="column">
            <wp:posOffset>-23495</wp:posOffset>
          </wp:positionH>
          <wp:positionV relativeFrom="paragraph">
            <wp:posOffset>37465</wp:posOffset>
          </wp:positionV>
          <wp:extent cx="1123950" cy="609600"/>
          <wp:effectExtent l="19050" t="0" r="0" b="0"/>
          <wp:wrapTight wrapText="bothSides">
            <wp:wrapPolygon edited="0">
              <wp:start x="-366" y="0"/>
              <wp:lineTo x="-366" y="20925"/>
              <wp:lineTo x="21600" y="20925"/>
              <wp:lineTo x="21600" y="0"/>
              <wp:lineTo x="-36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609600"/>
                  </a:xfrm>
                  <a:prstGeom prst="rect">
                    <a:avLst/>
                  </a:prstGeom>
                  <a:noFill/>
                  <a:ln w="9525">
                    <a:noFill/>
                    <a:miter lim="800000"/>
                    <a:headEnd/>
                    <a:tailEnd/>
                  </a:ln>
                </pic:spPr>
              </pic:pic>
            </a:graphicData>
          </a:graphic>
        </wp:anchor>
      </w:drawing>
    </w:r>
  </w:p>
  <w:p w:rsidR="007B33E1" w:rsidRPr="007D4589" w:rsidRDefault="007B33E1" w:rsidP="00E516EB">
    <w:pPr>
      <w:pStyle w:val="Encabezado"/>
      <w:jc w:val="center"/>
      <w:rPr>
        <w:rFonts w:ascii="Calibri" w:hAnsi="Calibri"/>
        <w:b/>
        <w:sz w:val="22"/>
        <w:szCs w:val="22"/>
        <w:lang w:val="es-ES"/>
      </w:rPr>
    </w:pPr>
    <w:r w:rsidRPr="007D4589">
      <w:rPr>
        <w:rFonts w:ascii="Calibri" w:hAnsi="Calibri"/>
        <w:b/>
        <w:sz w:val="22"/>
        <w:szCs w:val="22"/>
        <w:lang w:val="es-ES"/>
      </w:rPr>
      <w:t>FIDEICOMISO GARANTE DE LA ORQUESTA SINFÓNICA DE YUCATÁN</w:t>
    </w:r>
  </w:p>
  <w:p w:rsidR="007B33E1" w:rsidRPr="004B7A4D" w:rsidRDefault="007B33E1" w:rsidP="00F373A0">
    <w:pPr>
      <w:pStyle w:val="Encabezado"/>
      <w:tabs>
        <w:tab w:val="left" w:pos="480"/>
        <w:tab w:val="center" w:pos="4986"/>
      </w:tabs>
      <w:jc w:val="center"/>
      <w:rPr>
        <w:rFonts w:ascii="Calibri" w:hAnsi="Calibri"/>
        <w:b/>
        <w:sz w:val="22"/>
        <w:szCs w:val="22"/>
        <w:lang w:val="es-ES"/>
      </w:rPr>
    </w:pPr>
    <w:r w:rsidRPr="007D4589">
      <w:rPr>
        <w:rFonts w:ascii="Calibri" w:hAnsi="Calibri"/>
        <w:b/>
        <w:sz w:val="22"/>
        <w:szCs w:val="22"/>
        <w:lang w:val="es-ES"/>
      </w:rPr>
      <w:t>NOTAS A</w:t>
    </w:r>
    <w:r>
      <w:rPr>
        <w:rFonts w:ascii="Calibri" w:hAnsi="Calibri"/>
        <w:b/>
        <w:sz w:val="22"/>
        <w:szCs w:val="22"/>
        <w:lang w:val="es-ES"/>
      </w:rPr>
      <w:t xml:space="preserve"> </w:t>
    </w:r>
    <w:r w:rsidRPr="007D4589">
      <w:rPr>
        <w:rFonts w:ascii="Calibri" w:hAnsi="Calibri"/>
        <w:b/>
        <w:sz w:val="22"/>
        <w:szCs w:val="22"/>
        <w:lang w:val="es-ES"/>
      </w:rPr>
      <w:t>L</w:t>
    </w:r>
    <w:r>
      <w:rPr>
        <w:rFonts w:ascii="Calibri" w:hAnsi="Calibri"/>
        <w:b/>
        <w:sz w:val="22"/>
        <w:szCs w:val="22"/>
        <w:lang w:val="es-ES"/>
      </w:rPr>
      <w:t>OS</w:t>
    </w:r>
    <w:r w:rsidRPr="007D4589">
      <w:rPr>
        <w:rFonts w:ascii="Calibri" w:hAnsi="Calibri"/>
        <w:b/>
        <w:sz w:val="22"/>
        <w:szCs w:val="22"/>
        <w:lang w:val="es-ES"/>
      </w:rPr>
      <w:t xml:space="preserve"> </w:t>
    </w:r>
    <w:r>
      <w:rPr>
        <w:rFonts w:ascii="Calibri" w:hAnsi="Calibri"/>
        <w:b/>
        <w:sz w:val="22"/>
        <w:szCs w:val="22"/>
        <w:lang w:val="es-ES"/>
      </w:rPr>
      <w:t>ESTADOS FINANCIEROS AL 31</w:t>
    </w:r>
    <w:r w:rsidRPr="007D4589">
      <w:rPr>
        <w:rFonts w:ascii="Calibri" w:hAnsi="Calibri"/>
        <w:b/>
        <w:sz w:val="22"/>
        <w:szCs w:val="22"/>
        <w:lang w:val="es-ES"/>
      </w:rPr>
      <w:t xml:space="preserve"> DE </w:t>
    </w:r>
    <w:r>
      <w:rPr>
        <w:rFonts w:ascii="Calibri" w:hAnsi="Calibri"/>
        <w:b/>
        <w:sz w:val="22"/>
        <w:szCs w:val="22"/>
        <w:lang w:val="es-ES"/>
      </w:rPr>
      <w:t>MARZO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652A7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4B1B76"/>
    <w:multiLevelType w:val="multilevel"/>
    <w:tmpl w:val="B4245042"/>
    <w:lvl w:ilvl="0">
      <w:start w:val="1"/>
      <w:numFmt w:val="decimal"/>
      <w:lvlText w:val="%1"/>
      <w:lvlJc w:val="left"/>
      <w:pPr>
        <w:ind w:left="576" w:hanging="576"/>
      </w:pPr>
      <w:rPr>
        <w:rFonts w:hint="default"/>
      </w:rPr>
    </w:lvl>
    <w:lvl w:ilvl="1">
      <w:start w:val="1"/>
      <w:numFmt w:val="decimal"/>
      <w:lvlText w:val="%1.%2"/>
      <w:lvlJc w:val="left"/>
      <w:pPr>
        <w:ind w:left="696" w:hanging="576"/>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b/>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9B04E32"/>
    <w:multiLevelType w:val="hybridMultilevel"/>
    <w:tmpl w:val="07465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3908B1"/>
    <w:multiLevelType w:val="multilevel"/>
    <w:tmpl w:val="AD787522"/>
    <w:lvl w:ilvl="0">
      <w:start w:val="4"/>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440" w:hanging="144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5">
    <w:nsid w:val="17CF1CCE"/>
    <w:multiLevelType w:val="multilevel"/>
    <w:tmpl w:val="F21E10D8"/>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8D42C5"/>
    <w:multiLevelType w:val="multilevel"/>
    <w:tmpl w:val="D8AA6C4A"/>
    <w:lvl w:ilvl="0">
      <w:start w:val="2"/>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367D80"/>
    <w:multiLevelType w:val="multilevel"/>
    <w:tmpl w:val="19BED06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B62A9A"/>
    <w:multiLevelType w:val="multilevel"/>
    <w:tmpl w:val="4DD2C69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5"/>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7B4CCC"/>
    <w:multiLevelType w:val="multilevel"/>
    <w:tmpl w:val="CE807D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E5A7D63"/>
    <w:multiLevelType w:val="hybridMultilevel"/>
    <w:tmpl w:val="1988E2BA"/>
    <w:lvl w:ilvl="0" w:tplc="41EC51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BA6202"/>
    <w:multiLevelType w:val="multilevel"/>
    <w:tmpl w:val="89B67C3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C3156D0"/>
    <w:multiLevelType w:val="hybridMultilevel"/>
    <w:tmpl w:val="58008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ED11419"/>
    <w:multiLevelType w:val="multilevel"/>
    <w:tmpl w:val="B69E4908"/>
    <w:lvl w:ilvl="0">
      <w:start w:val="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6E3135"/>
    <w:multiLevelType w:val="multilevel"/>
    <w:tmpl w:val="F13AD2C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1397AFC"/>
    <w:multiLevelType w:val="multilevel"/>
    <w:tmpl w:val="4904A33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086E17"/>
    <w:multiLevelType w:val="multilevel"/>
    <w:tmpl w:val="7B4A45A0"/>
    <w:lvl w:ilvl="0">
      <w:start w:val="3"/>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48BD4C98"/>
    <w:multiLevelType w:val="multilevel"/>
    <w:tmpl w:val="3774D52A"/>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A3644F1"/>
    <w:multiLevelType w:val="multilevel"/>
    <w:tmpl w:val="0EC276C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2C0AF5"/>
    <w:multiLevelType w:val="hybridMultilevel"/>
    <w:tmpl w:val="EB5CB54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B12DC8"/>
    <w:multiLevelType w:val="hybridMultilevel"/>
    <w:tmpl w:val="A0C8A2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0C7493"/>
    <w:multiLevelType w:val="hybridMultilevel"/>
    <w:tmpl w:val="1312F7F8"/>
    <w:lvl w:ilvl="0" w:tplc="79867B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E983018"/>
    <w:multiLevelType w:val="multilevel"/>
    <w:tmpl w:val="C3CAB4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EC7313A"/>
    <w:multiLevelType w:val="hybridMultilevel"/>
    <w:tmpl w:val="F8DCA4A4"/>
    <w:lvl w:ilvl="0" w:tplc="406E0F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FA50418"/>
    <w:multiLevelType w:val="multilevel"/>
    <w:tmpl w:val="4404D850"/>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b/>
      </w:rPr>
    </w:lvl>
    <w:lvl w:ilvl="4">
      <w:start w:val="2"/>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0544933"/>
    <w:multiLevelType w:val="multilevel"/>
    <w:tmpl w:val="66DC5CAE"/>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1"/>
      <w:numFmt w:val="decimal"/>
      <w:lvlText w:val="%1.%2.%3.%4"/>
      <w:lvlJc w:val="left"/>
      <w:pPr>
        <w:ind w:left="855" w:hanging="855"/>
      </w:pPr>
      <w:rPr>
        <w:rFonts w:hint="default"/>
        <w:b/>
      </w:rPr>
    </w:lvl>
    <w:lvl w:ilvl="4">
      <w:start w:val="2"/>
      <w:numFmt w:val="decimal"/>
      <w:lvlText w:val="%1.%2.%3.%4.%5"/>
      <w:lvlJc w:val="left"/>
      <w:pPr>
        <w:ind w:left="855" w:hanging="855"/>
      </w:pPr>
      <w:rPr>
        <w:rFonts w:hint="default"/>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0BC49CA"/>
    <w:multiLevelType w:val="multilevel"/>
    <w:tmpl w:val="5FD24E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15A04A5"/>
    <w:multiLevelType w:val="hybridMultilevel"/>
    <w:tmpl w:val="FC645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1B5165C"/>
    <w:multiLevelType w:val="multilevel"/>
    <w:tmpl w:val="029C72F2"/>
    <w:lvl w:ilvl="0">
      <w:start w:val="1"/>
      <w:numFmt w:val="decimal"/>
      <w:lvlText w:val="%1"/>
      <w:lvlJc w:val="left"/>
      <w:pPr>
        <w:ind w:left="888" w:hanging="888"/>
      </w:pPr>
      <w:rPr>
        <w:rFonts w:hint="default"/>
      </w:rPr>
    </w:lvl>
    <w:lvl w:ilvl="1">
      <w:start w:val="1"/>
      <w:numFmt w:val="decimal"/>
      <w:lvlText w:val="%1.%2"/>
      <w:lvlJc w:val="left"/>
      <w:pPr>
        <w:ind w:left="960" w:hanging="888"/>
      </w:pPr>
      <w:rPr>
        <w:rFonts w:hint="default"/>
      </w:rPr>
    </w:lvl>
    <w:lvl w:ilvl="2">
      <w:start w:val="2"/>
      <w:numFmt w:val="decimal"/>
      <w:lvlText w:val="%1.%2.%3"/>
      <w:lvlJc w:val="left"/>
      <w:pPr>
        <w:ind w:left="1032" w:hanging="888"/>
      </w:pPr>
      <w:rPr>
        <w:rFonts w:hint="default"/>
      </w:rPr>
    </w:lvl>
    <w:lvl w:ilvl="3">
      <w:start w:val="1"/>
      <w:numFmt w:val="decimal"/>
      <w:lvlText w:val="%1.%2.%3.%4"/>
      <w:lvlJc w:val="left"/>
      <w:pPr>
        <w:ind w:left="1104" w:hanging="888"/>
      </w:pPr>
      <w:rPr>
        <w:rFonts w:hint="default"/>
      </w:rPr>
    </w:lvl>
    <w:lvl w:ilvl="4">
      <w:start w:val="2"/>
      <w:numFmt w:val="decimal"/>
      <w:lvlText w:val="%1.%2.%3.%4.%5"/>
      <w:lvlJc w:val="left"/>
      <w:pPr>
        <w:ind w:left="1176" w:hanging="888"/>
      </w:pPr>
      <w:rPr>
        <w:rFonts w:hint="default"/>
      </w:rPr>
    </w:lvl>
    <w:lvl w:ilvl="5">
      <w:start w:val="1"/>
      <w:numFmt w:val="decimal"/>
      <w:lvlText w:val="%1.%2.%3.%4.%5.%6"/>
      <w:lvlJc w:val="left"/>
      <w:pPr>
        <w:ind w:left="1440" w:hanging="1080"/>
      </w:pPr>
      <w:rPr>
        <w:rFonts w:hint="default"/>
        <w:b/>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33">
    <w:nsid w:val="648F039B"/>
    <w:multiLevelType w:val="multilevel"/>
    <w:tmpl w:val="D96C8C1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lvlText w:val="%4.1.2.1.1.1"/>
      <w:lvlJc w:val="left"/>
      <w:pPr>
        <w:ind w:left="1440" w:hanging="1080"/>
      </w:pPr>
      <w:rPr>
        <w:rFonts w:hint="default"/>
        <w:b/>
      </w:rPr>
    </w:lvl>
    <w:lvl w:ilvl="4">
      <w:start w:val="2"/>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B17C21"/>
    <w:multiLevelType w:val="hybridMultilevel"/>
    <w:tmpl w:val="9F98FC84"/>
    <w:lvl w:ilvl="0" w:tplc="19B0BB5C">
      <w:start w:val="1"/>
      <w:numFmt w:val="lowerLetter"/>
      <w:lvlText w:val="%1)"/>
      <w:lvlJc w:val="left"/>
      <w:pPr>
        <w:ind w:left="720" w:hanging="360"/>
      </w:pPr>
      <w:rPr>
        <w:rFonts w:ascii="ZapfHumnst BT" w:eastAsia="Times New Roman" w:hAnsi="ZapfHumnst BT"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4F76B7C"/>
    <w:multiLevelType w:val="multilevel"/>
    <w:tmpl w:val="ED96458A"/>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0618D2"/>
    <w:multiLevelType w:val="multilevel"/>
    <w:tmpl w:val="546C2502"/>
    <w:lvl w:ilvl="0">
      <w:start w:val="1"/>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930" w:hanging="93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2"/>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36"/>
  </w:num>
  <w:num w:numId="2">
    <w:abstractNumId w:val="34"/>
  </w:num>
  <w:num w:numId="3">
    <w:abstractNumId w:val="11"/>
  </w:num>
  <w:num w:numId="4">
    <w:abstractNumId w:val="2"/>
  </w:num>
  <w:num w:numId="5">
    <w:abstractNumId w:val="19"/>
  </w:num>
  <w:num w:numId="6">
    <w:abstractNumId w:val="7"/>
  </w:num>
  <w:num w:numId="7">
    <w:abstractNumId w:val="14"/>
  </w:num>
  <w:num w:numId="8">
    <w:abstractNumId w:val="0"/>
  </w:num>
  <w:num w:numId="9">
    <w:abstractNumId w:val="10"/>
  </w:num>
  <w:num w:numId="10">
    <w:abstractNumId w:val="23"/>
  </w:num>
  <w:num w:numId="11">
    <w:abstractNumId w:val="39"/>
  </w:num>
  <w:num w:numId="12">
    <w:abstractNumId w:val="17"/>
  </w:num>
  <w:num w:numId="13">
    <w:abstractNumId w:val="13"/>
  </w:num>
  <w:num w:numId="14">
    <w:abstractNumId w:val="35"/>
  </w:num>
  <w:num w:numId="15">
    <w:abstractNumId w:val="3"/>
  </w:num>
  <w:num w:numId="16">
    <w:abstractNumId w:val="18"/>
  </w:num>
  <w:num w:numId="17">
    <w:abstractNumId w:val="26"/>
  </w:num>
  <w:num w:numId="18">
    <w:abstractNumId w:val="15"/>
  </w:num>
  <w:num w:numId="19">
    <w:abstractNumId w:val="12"/>
  </w:num>
  <w:num w:numId="20">
    <w:abstractNumId w:val="31"/>
  </w:num>
  <w:num w:numId="21">
    <w:abstractNumId w:val="38"/>
  </w:num>
  <w:num w:numId="22">
    <w:abstractNumId w:val="9"/>
  </w:num>
  <w:num w:numId="23">
    <w:abstractNumId w:val="22"/>
  </w:num>
  <w:num w:numId="24">
    <w:abstractNumId w:val="5"/>
  </w:num>
  <w:num w:numId="25">
    <w:abstractNumId w:val="6"/>
  </w:num>
  <w:num w:numId="26">
    <w:abstractNumId w:val="21"/>
  </w:num>
  <w:num w:numId="27">
    <w:abstractNumId w:val="30"/>
  </w:num>
  <w:num w:numId="28">
    <w:abstractNumId w:val="27"/>
  </w:num>
  <w:num w:numId="29">
    <w:abstractNumId w:val="16"/>
  </w:num>
  <w:num w:numId="30">
    <w:abstractNumId w:val="4"/>
  </w:num>
  <w:num w:numId="31">
    <w:abstractNumId w:val="37"/>
  </w:num>
  <w:num w:numId="32">
    <w:abstractNumId w:val="28"/>
  </w:num>
  <w:num w:numId="33">
    <w:abstractNumId w:val="24"/>
  </w:num>
  <w:num w:numId="34">
    <w:abstractNumId w:val="8"/>
  </w:num>
  <w:num w:numId="35">
    <w:abstractNumId w:val="29"/>
  </w:num>
  <w:num w:numId="36">
    <w:abstractNumId w:val="25"/>
  </w:num>
  <w:num w:numId="37">
    <w:abstractNumId w:val="20"/>
  </w:num>
  <w:num w:numId="38">
    <w:abstractNumId w:val="33"/>
  </w:num>
  <w:num w:numId="39">
    <w:abstractNumId w:val="1"/>
  </w:num>
  <w:num w:numId="4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0507"/>
    <w:rsid w:val="00002CB8"/>
    <w:rsid w:val="00002F6A"/>
    <w:rsid w:val="000032DF"/>
    <w:rsid w:val="0000334E"/>
    <w:rsid w:val="00004CB6"/>
    <w:rsid w:val="000061F3"/>
    <w:rsid w:val="000065D1"/>
    <w:rsid w:val="000075D2"/>
    <w:rsid w:val="00007602"/>
    <w:rsid w:val="00007F1B"/>
    <w:rsid w:val="0001309E"/>
    <w:rsid w:val="00013357"/>
    <w:rsid w:val="00013DE3"/>
    <w:rsid w:val="00014390"/>
    <w:rsid w:val="000156E9"/>
    <w:rsid w:val="00015862"/>
    <w:rsid w:val="00017C58"/>
    <w:rsid w:val="00020207"/>
    <w:rsid w:val="00024700"/>
    <w:rsid w:val="00026F92"/>
    <w:rsid w:val="000279D9"/>
    <w:rsid w:val="00030167"/>
    <w:rsid w:val="000316BB"/>
    <w:rsid w:val="00032122"/>
    <w:rsid w:val="000331F0"/>
    <w:rsid w:val="00033424"/>
    <w:rsid w:val="00036359"/>
    <w:rsid w:val="00037DA6"/>
    <w:rsid w:val="00040247"/>
    <w:rsid w:val="000433C5"/>
    <w:rsid w:val="00044E4A"/>
    <w:rsid w:val="000468D0"/>
    <w:rsid w:val="00047810"/>
    <w:rsid w:val="000479BA"/>
    <w:rsid w:val="000515CB"/>
    <w:rsid w:val="000518D4"/>
    <w:rsid w:val="0005218F"/>
    <w:rsid w:val="0005298F"/>
    <w:rsid w:val="00054421"/>
    <w:rsid w:val="000549BA"/>
    <w:rsid w:val="00055475"/>
    <w:rsid w:val="00056882"/>
    <w:rsid w:val="00056BBF"/>
    <w:rsid w:val="0006042F"/>
    <w:rsid w:val="00060C85"/>
    <w:rsid w:val="00060E23"/>
    <w:rsid w:val="0006105B"/>
    <w:rsid w:val="0006187C"/>
    <w:rsid w:val="00062F82"/>
    <w:rsid w:val="0006348B"/>
    <w:rsid w:val="00066511"/>
    <w:rsid w:val="00066B8F"/>
    <w:rsid w:val="00070065"/>
    <w:rsid w:val="00070BF1"/>
    <w:rsid w:val="00072D7B"/>
    <w:rsid w:val="000734BB"/>
    <w:rsid w:val="00074B84"/>
    <w:rsid w:val="00076E3B"/>
    <w:rsid w:val="00081665"/>
    <w:rsid w:val="00082A0A"/>
    <w:rsid w:val="00086107"/>
    <w:rsid w:val="00086DD0"/>
    <w:rsid w:val="00087628"/>
    <w:rsid w:val="000908E2"/>
    <w:rsid w:val="00091955"/>
    <w:rsid w:val="00094909"/>
    <w:rsid w:val="00096BF9"/>
    <w:rsid w:val="000A48EC"/>
    <w:rsid w:val="000A58E4"/>
    <w:rsid w:val="000A5D27"/>
    <w:rsid w:val="000A6F15"/>
    <w:rsid w:val="000A6F50"/>
    <w:rsid w:val="000A7489"/>
    <w:rsid w:val="000A7CCA"/>
    <w:rsid w:val="000B047F"/>
    <w:rsid w:val="000B0A19"/>
    <w:rsid w:val="000B0E2E"/>
    <w:rsid w:val="000B0F40"/>
    <w:rsid w:val="000B43F6"/>
    <w:rsid w:val="000B4829"/>
    <w:rsid w:val="000B52D8"/>
    <w:rsid w:val="000B53E5"/>
    <w:rsid w:val="000B5769"/>
    <w:rsid w:val="000B57DD"/>
    <w:rsid w:val="000B7367"/>
    <w:rsid w:val="000C0B9C"/>
    <w:rsid w:val="000C24B9"/>
    <w:rsid w:val="000C35C1"/>
    <w:rsid w:val="000C4EE9"/>
    <w:rsid w:val="000C56B8"/>
    <w:rsid w:val="000C60DD"/>
    <w:rsid w:val="000C688C"/>
    <w:rsid w:val="000C6B7E"/>
    <w:rsid w:val="000C772F"/>
    <w:rsid w:val="000C77CD"/>
    <w:rsid w:val="000D009E"/>
    <w:rsid w:val="000D0630"/>
    <w:rsid w:val="000D0F4F"/>
    <w:rsid w:val="000D1027"/>
    <w:rsid w:val="000D1CC7"/>
    <w:rsid w:val="000D3067"/>
    <w:rsid w:val="000D3204"/>
    <w:rsid w:val="000D366C"/>
    <w:rsid w:val="000D38ED"/>
    <w:rsid w:val="000D5330"/>
    <w:rsid w:val="000D5606"/>
    <w:rsid w:val="000D5C8B"/>
    <w:rsid w:val="000D7C16"/>
    <w:rsid w:val="000E0CAE"/>
    <w:rsid w:val="000E11F3"/>
    <w:rsid w:val="000E2E67"/>
    <w:rsid w:val="000E567B"/>
    <w:rsid w:val="000E57BC"/>
    <w:rsid w:val="000E7B8E"/>
    <w:rsid w:val="000F1AE9"/>
    <w:rsid w:val="000F41C4"/>
    <w:rsid w:val="000F473B"/>
    <w:rsid w:val="000F4D02"/>
    <w:rsid w:val="000F799B"/>
    <w:rsid w:val="00100E22"/>
    <w:rsid w:val="0010128D"/>
    <w:rsid w:val="0010153A"/>
    <w:rsid w:val="0010183B"/>
    <w:rsid w:val="00102BEE"/>
    <w:rsid w:val="00103CEE"/>
    <w:rsid w:val="0010436C"/>
    <w:rsid w:val="00104F9E"/>
    <w:rsid w:val="00106F17"/>
    <w:rsid w:val="00110743"/>
    <w:rsid w:val="0011202B"/>
    <w:rsid w:val="0011220E"/>
    <w:rsid w:val="00114662"/>
    <w:rsid w:val="0011595A"/>
    <w:rsid w:val="00115C29"/>
    <w:rsid w:val="00116981"/>
    <w:rsid w:val="00116CAA"/>
    <w:rsid w:val="001202E5"/>
    <w:rsid w:val="001204D9"/>
    <w:rsid w:val="0012088A"/>
    <w:rsid w:val="00121260"/>
    <w:rsid w:val="00121DC8"/>
    <w:rsid w:val="00122154"/>
    <w:rsid w:val="00122A8D"/>
    <w:rsid w:val="00123E16"/>
    <w:rsid w:val="00125AFA"/>
    <w:rsid w:val="00125C53"/>
    <w:rsid w:val="00125F6C"/>
    <w:rsid w:val="0012603E"/>
    <w:rsid w:val="00126399"/>
    <w:rsid w:val="00126DE2"/>
    <w:rsid w:val="00127336"/>
    <w:rsid w:val="00131E79"/>
    <w:rsid w:val="001328A3"/>
    <w:rsid w:val="00133872"/>
    <w:rsid w:val="00133FD0"/>
    <w:rsid w:val="00135B88"/>
    <w:rsid w:val="001374BB"/>
    <w:rsid w:val="00137563"/>
    <w:rsid w:val="001407A8"/>
    <w:rsid w:val="00140F7A"/>
    <w:rsid w:val="00141423"/>
    <w:rsid w:val="00143B78"/>
    <w:rsid w:val="001445B3"/>
    <w:rsid w:val="001447D6"/>
    <w:rsid w:val="00146029"/>
    <w:rsid w:val="00146B9F"/>
    <w:rsid w:val="001512A9"/>
    <w:rsid w:val="00153576"/>
    <w:rsid w:val="00153CEA"/>
    <w:rsid w:val="00154C61"/>
    <w:rsid w:val="0015536D"/>
    <w:rsid w:val="0015547B"/>
    <w:rsid w:val="00155D26"/>
    <w:rsid w:val="00160045"/>
    <w:rsid w:val="00161E86"/>
    <w:rsid w:val="001620B1"/>
    <w:rsid w:val="001621B0"/>
    <w:rsid w:val="00164457"/>
    <w:rsid w:val="001644E4"/>
    <w:rsid w:val="00165485"/>
    <w:rsid w:val="00165B92"/>
    <w:rsid w:val="0016692C"/>
    <w:rsid w:val="00166FEB"/>
    <w:rsid w:val="00167ACD"/>
    <w:rsid w:val="00170C15"/>
    <w:rsid w:val="00171756"/>
    <w:rsid w:val="0017229B"/>
    <w:rsid w:val="00173E41"/>
    <w:rsid w:val="001776DB"/>
    <w:rsid w:val="00180532"/>
    <w:rsid w:val="00180F43"/>
    <w:rsid w:val="0018110A"/>
    <w:rsid w:val="00182400"/>
    <w:rsid w:val="00182F4A"/>
    <w:rsid w:val="00183493"/>
    <w:rsid w:val="00183E5F"/>
    <w:rsid w:val="00184FDF"/>
    <w:rsid w:val="001858EC"/>
    <w:rsid w:val="00185EEE"/>
    <w:rsid w:val="00192566"/>
    <w:rsid w:val="0019291A"/>
    <w:rsid w:val="00192A50"/>
    <w:rsid w:val="00192AF9"/>
    <w:rsid w:val="001933AB"/>
    <w:rsid w:val="00193BE3"/>
    <w:rsid w:val="00195FA8"/>
    <w:rsid w:val="001961AF"/>
    <w:rsid w:val="00196EB9"/>
    <w:rsid w:val="0019766F"/>
    <w:rsid w:val="001A0039"/>
    <w:rsid w:val="001A0664"/>
    <w:rsid w:val="001A0A6F"/>
    <w:rsid w:val="001A1513"/>
    <w:rsid w:val="001A192E"/>
    <w:rsid w:val="001A6721"/>
    <w:rsid w:val="001A713D"/>
    <w:rsid w:val="001B1A48"/>
    <w:rsid w:val="001B3330"/>
    <w:rsid w:val="001B4551"/>
    <w:rsid w:val="001B6A37"/>
    <w:rsid w:val="001B6C26"/>
    <w:rsid w:val="001B6F16"/>
    <w:rsid w:val="001C05C5"/>
    <w:rsid w:val="001C14B0"/>
    <w:rsid w:val="001C159C"/>
    <w:rsid w:val="001C16E2"/>
    <w:rsid w:val="001C2F11"/>
    <w:rsid w:val="001C33DF"/>
    <w:rsid w:val="001C5783"/>
    <w:rsid w:val="001C7B4B"/>
    <w:rsid w:val="001C7DD6"/>
    <w:rsid w:val="001D02FD"/>
    <w:rsid w:val="001D0A2B"/>
    <w:rsid w:val="001D17C4"/>
    <w:rsid w:val="001D2407"/>
    <w:rsid w:val="001D4589"/>
    <w:rsid w:val="001D58C1"/>
    <w:rsid w:val="001D5B4B"/>
    <w:rsid w:val="001D61F1"/>
    <w:rsid w:val="001D6708"/>
    <w:rsid w:val="001D68A9"/>
    <w:rsid w:val="001D7150"/>
    <w:rsid w:val="001E0E81"/>
    <w:rsid w:val="001E4281"/>
    <w:rsid w:val="001E7529"/>
    <w:rsid w:val="001F1D18"/>
    <w:rsid w:val="001F3D8A"/>
    <w:rsid w:val="001F6F05"/>
    <w:rsid w:val="002018F1"/>
    <w:rsid w:val="002018F9"/>
    <w:rsid w:val="002031AF"/>
    <w:rsid w:val="002036B8"/>
    <w:rsid w:val="00203933"/>
    <w:rsid w:val="00203D7A"/>
    <w:rsid w:val="00206386"/>
    <w:rsid w:val="00206A9E"/>
    <w:rsid w:val="00207AA8"/>
    <w:rsid w:val="00211F98"/>
    <w:rsid w:val="0021321B"/>
    <w:rsid w:val="002136E7"/>
    <w:rsid w:val="00213DD3"/>
    <w:rsid w:val="00215CE7"/>
    <w:rsid w:val="00217844"/>
    <w:rsid w:val="0022058A"/>
    <w:rsid w:val="00220FF0"/>
    <w:rsid w:val="0022105A"/>
    <w:rsid w:val="002237E8"/>
    <w:rsid w:val="002239AF"/>
    <w:rsid w:val="00224F6A"/>
    <w:rsid w:val="00225860"/>
    <w:rsid w:val="00225B6F"/>
    <w:rsid w:val="002335CD"/>
    <w:rsid w:val="00235671"/>
    <w:rsid w:val="0023587D"/>
    <w:rsid w:val="00236898"/>
    <w:rsid w:val="0023760D"/>
    <w:rsid w:val="0023772D"/>
    <w:rsid w:val="00241BBF"/>
    <w:rsid w:val="00242B8C"/>
    <w:rsid w:val="002437A7"/>
    <w:rsid w:val="00245FBA"/>
    <w:rsid w:val="00246E8C"/>
    <w:rsid w:val="002476BA"/>
    <w:rsid w:val="00250EBB"/>
    <w:rsid w:val="00252057"/>
    <w:rsid w:val="0025295B"/>
    <w:rsid w:val="002537D4"/>
    <w:rsid w:val="00257050"/>
    <w:rsid w:val="00257B8F"/>
    <w:rsid w:val="0026082A"/>
    <w:rsid w:val="002615D1"/>
    <w:rsid w:val="00261B4C"/>
    <w:rsid w:val="00262D4B"/>
    <w:rsid w:val="0026302A"/>
    <w:rsid w:val="002653E4"/>
    <w:rsid w:val="00265505"/>
    <w:rsid w:val="0026649D"/>
    <w:rsid w:val="002665F6"/>
    <w:rsid w:val="0026721C"/>
    <w:rsid w:val="002673C0"/>
    <w:rsid w:val="0027089E"/>
    <w:rsid w:val="00271490"/>
    <w:rsid w:val="00272100"/>
    <w:rsid w:val="002731E0"/>
    <w:rsid w:val="00274D44"/>
    <w:rsid w:val="00274E15"/>
    <w:rsid w:val="00276187"/>
    <w:rsid w:val="00276A8E"/>
    <w:rsid w:val="002801B6"/>
    <w:rsid w:val="002818ED"/>
    <w:rsid w:val="00282BB3"/>
    <w:rsid w:val="00283F9D"/>
    <w:rsid w:val="0028552F"/>
    <w:rsid w:val="002876A3"/>
    <w:rsid w:val="00290868"/>
    <w:rsid w:val="002938AC"/>
    <w:rsid w:val="002942A4"/>
    <w:rsid w:val="00296CCC"/>
    <w:rsid w:val="00296CE8"/>
    <w:rsid w:val="00297415"/>
    <w:rsid w:val="002A0F6B"/>
    <w:rsid w:val="002A1014"/>
    <w:rsid w:val="002A1A9A"/>
    <w:rsid w:val="002A2927"/>
    <w:rsid w:val="002A47A1"/>
    <w:rsid w:val="002A4B2A"/>
    <w:rsid w:val="002A5A3F"/>
    <w:rsid w:val="002A5A90"/>
    <w:rsid w:val="002A690F"/>
    <w:rsid w:val="002A6C69"/>
    <w:rsid w:val="002A7737"/>
    <w:rsid w:val="002B0788"/>
    <w:rsid w:val="002B0EC4"/>
    <w:rsid w:val="002B151A"/>
    <w:rsid w:val="002B517C"/>
    <w:rsid w:val="002C13CE"/>
    <w:rsid w:val="002C171B"/>
    <w:rsid w:val="002C244A"/>
    <w:rsid w:val="002C28AB"/>
    <w:rsid w:val="002C4964"/>
    <w:rsid w:val="002C4F9A"/>
    <w:rsid w:val="002C5252"/>
    <w:rsid w:val="002C59DD"/>
    <w:rsid w:val="002C5D83"/>
    <w:rsid w:val="002C6A66"/>
    <w:rsid w:val="002C6B36"/>
    <w:rsid w:val="002C6DBF"/>
    <w:rsid w:val="002C7A52"/>
    <w:rsid w:val="002D18F1"/>
    <w:rsid w:val="002D3B44"/>
    <w:rsid w:val="002D6109"/>
    <w:rsid w:val="002E0143"/>
    <w:rsid w:val="002E01D6"/>
    <w:rsid w:val="002E03E7"/>
    <w:rsid w:val="002E1B62"/>
    <w:rsid w:val="002E3720"/>
    <w:rsid w:val="002E4D68"/>
    <w:rsid w:val="002E5A66"/>
    <w:rsid w:val="002E5DAD"/>
    <w:rsid w:val="002E665F"/>
    <w:rsid w:val="002E777F"/>
    <w:rsid w:val="002E7BF2"/>
    <w:rsid w:val="002F27EE"/>
    <w:rsid w:val="002F2F71"/>
    <w:rsid w:val="002F40B9"/>
    <w:rsid w:val="002F45EF"/>
    <w:rsid w:val="002F4F5E"/>
    <w:rsid w:val="002F548D"/>
    <w:rsid w:val="002F63DD"/>
    <w:rsid w:val="002F64BF"/>
    <w:rsid w:val="002F7524"/>
    <w:rsid w:val="002F79A1"/>
    <w:rsid w:val="003003C7"/>
    <w:rsid w:val="00301F88"/>
    <w:rsid w:val="00302F49"/>
    <w:rsid w:val="003036C9"/>
    <w:rsid w:val="0030390B"/>
    <w:rsid w:val="00305561"/>
    <w:rsid w:val="00305CB1"/>
    <w:rsid w:val="003077C8"/>
    <w:rsid w:val="00307984"/>
    <w:rsid w:val="0031192C"/>
    <w:rsid w:val="0031255A"/>
    <w:rsid w:val="00313A76"/>
    <w:rsid w:val="00314276"/>
    <w:rsid w:val="00314C28"/>
    <w:rsid w:val="00315042"/>
    <w:rsid w:val="00316FCF"/>
    <w:rsid w:val="00317958"/>
    <w:rsid w:val="003218DE"/>
    <w:rsid w:val="00321CB1"/>
    <w:rsid w:val="00321DB2"/>
    <w:rsid w:val="003221C5"/>
    <w:rsid w:val="0032232D"/>
    <w:rsid w:val="00324284"/>
    <w:rsid w:val="003251F9"/>
    <w:rsid w:val="00325AEE"/>
    <w:rsid w:val="003268FE"/>
    <w:rsid w:val="003276EE"/>
    <w:rsid w:val="00327E35"/>
    <w:rsid w:val="00330467"/>
    <w:rsid w:val="00331C58"/>
    <w:rsid w:val="003323CC"/>
    <w:rsid w:val="0033242B"/>
    <w:rsid w:val="0033309C"/>
    <w:rsid w:val="00334D0D"/>
    <w:rsid w:val="00334FDC"/>
    <w:rsid w:val="0033685C"/>
    <w:rsid w:val="00337E3A"/>
    <w:rsid w:val="00340173"/>
    <w:rsid w:val="0034167D"/>
    <w:rsid w:val="00341D6D"/>
    <w:rsid w:val="003428B9"/>
    <w:rsid w:val="00344E0D"/>
    <w:rsid w:val="00345181"/>
    <w:rsid w:val="00346C05"/>
    <w:rsid w:val="003503C8"/>
    <w:rsid w:val="003522D1"/>
    <w:rsid w:val="00352782"/>
    <w:rsid w:val="00354678"/>
    <w:rsid w:val="00354E6C"/>
    <w:rsid w:val="00355459"/>
    <w:rsid w:val="00355757"/>
    <w:rsid w:val="00356402"/>
    <w:rsid w:val="00357534"/>
    <w:rsid w:val="00357D37"/>
    <w:rsid w:val="00360018"/>
    <w:rsid w:val="00363310"/>
    <w:rsid w:val="00365D58"/>
    <w:rsid w:val="00366B1F"/>
    <w:rsid w:val="00366BF9"/>
    <w:rsid w:val="003675B3"/>
    <w:rsid w:val="00370350"/>
    <w:rsid w:val="0037239E"/>
    <w:rsid w:val="00375465"/>
    <w:rsid w:val="00375918"/>
    <w:rsid w:val="003765AD"/>
    <w:rsid w:val="0037672E"/>
    <w:rsid w:val="00376EE9"/>
    <w:rsid w:val="003775C8"/>
    <w:rsid w:val="0037777A"/>
    <w:rsid w:val="00380913"/>
    <w:rsid w:val="00380947"/>
    <w:rsid w:val="00380A97"/>
    <w:rsid w:val="00381B95"/>
    <w:rsid w:val="00383C67"/>
    <w:rsid w:val="003842B5"/>
    <w:rsid w:val="0038551C"/>
    <w:rsid w:val="00387CD1"/>
    <w:rsid w:val="00392A9F"/>
    <w:rsid w:val="00392C20"/>
    <w:rsid w:val="0039423D"/>
    <w:rsid w:val="003956E6"/>
    <w:rsid w:val="00397319"/>
    <w:rsid w:val="00397664"/>
    <w:rsid w:val="003A1D3F"/>
    <w:rsid w:val="003A64B0"/>
    <w:rsid w:val="003A6500"/>
    <w:rsid w:val="003A6AA0"/>
    <w:rsid w:val="003A79AC"/>
    <w:rsid w:val="003A7B0A"/>
    <w:rsid w:val="003B14A5"/>
    <w:rsid w:val="003B16CE"/>
    <w:rsid w:val="003B2666"/>
    <w:rsid w:val="003B2BA4"/>
    <w:rsid w:val="003B45AC"/>
    <w:rsid w:val="003B6242"/>
    <w:rsid w:val="003B6991"/>
    <w:rsid w:val="003C0520"/>
    <w:rsid w:val="003C2832"/>
    <w:rsid w:val="003C5092"/>
    <w:rsid w:val="003C5BC4"/>
    <w:rsid w:val="003C5DBA"/>
    <w:rsid w:val="003C63A3"/>
    <w:rsid w:val="003C76EE"/>
    <w:rsid w:val="003D0EE7"/>
    <w:rsid w:val="003D2E3F"/>
    <w:rsid w:val="003D420F"/>
    <w:rsid w:val="003D4340"/>
    <w:rsid w:val="003D4BA2"/>
    <w:rsid w:val="003D5FAE"/>
    <w:rsid w:val="003D7070"/>
    <w:rsid w:val="003D7FAE"/>
    <w:rsid w:val="003E31E7"/>
    <w:rsid w:val="003E46FB"/>
    <w:rsid w:val="003E4EAB"/>
    <w:rsid w:val="003E64DB"/>
    <w:rsid w:val="003E67A7"/>
    <w:rsid w:val="003F1E2C"/>
    <w:rsid w:val="003F2D44"/>
    <w:rsid w:val="003F5280"/>
    <w:rsid w:val="004025F1"/>
    <w:rsid w:val="004039CA"/>
    <w:rsid w:val="00403D7C"/>
    <w:rsid w:val="00404280"/>
    <w:rsid w:val="00404BDC"/>
    <w:rsid w:val="0040796F"/>
    <w:rsid w:val="00407F20"/>
    <w:rsid w:val="0041027F"/>
    <w:rsid w:val="00410722"/>
    <w:rsid w:val="00410A8F"/>
    <w:rsid w:val="00412870"/>
    <w:rsid w:val="0041423B"/>
    <w:rsid w:val="00414FE3"/>
    <w:rsid w:val="004161D5"/>
    <w:rsid w:val="00416B4F"/>
    <w:rsid w:val="0041768B"/>
    <w:rsid w:val="004176A7"/>
    <w:rsid w:val="004205D6"/>
    <w:rsid w:val="004211CF"/>
    <w:rsid w:val="00421F8F"/>
    <w:rsid w:val="004233DF"/>
    <w:rsid w:val="004234C4"/>
    <w:rsid w:val="00423F32"/>
    <w:rsid w:val="00424390"/>
    <w:rsid w:val="00425748"/>
    <w:rsid w:val="004263F0"/>
    <w:rsid w:val="00431AF9"/>
    <w:rsid w:val="00432448"/>
    <w:rsid w:val="00433942"/>
    <w:rsid w:val="00433EF8"/>
    <w:rsid w:val="00435FBD"/>
    <w:rsid w:val="0043623F"/>
    <w:rsid w:val="0043735A"/>
    <w:rsid w:val="00440FC2"/>
    <w:rsid w:val="00441A8D"/>
    <w:rsid w:val="00441CEE"/>
    <w:rsid w:val="00441EAD"/>
    <w:rsid w:val="0044400B"/>
    <w:rsid w:val="004456C9"/>
    <w:rsid w:val="00445B8B"/>
    <w:rsid w:val="00446943"/>
    <w:rsid w:val="00446D79"/>
    <w:rsid w:val="00446F11"/>
    <w:rsid w:val="004478B7"/>
    <w:rsid w:val="00450053"/>
    <w:rsid w:val="00450D59"/>
    <w:rsid w:val="00451C7F"/>
    <w:rsid w:val="00452291"/>
    <w:rsid w:val="00452900"/>
    <w:rsid w:val="0045292A"/>
    <w:rsid w:val="00452DCC"/>
    <w:rsid w:val="00452F0C"/>
    <w:rsid w:val="00455E9A"/>
    <w:rsid w:val="00456532"/>
    <w:rsid w:val="00457FC6"/>
    <w:rsid w:val="00460ABD"/>
    <w:rsid w:val="004619CA"/>
    <w:rsid w:val="00461B95"/>
    <w:rsid w:val="0046285B"/>
    <w:rsid w:val="00464613"/>
    <w:rsid w:val="004646A1"/>
    <w:rsid w:val="00464F79"/>
    <w:rsid w:val="004653C9"/>
    <w:rsid w:val="00466E44"/>
    <w:rsid w:val="0047011B"/>
    <w:rsid w:val="004707FC"/>
    <w:rsid w:val="00470AF1"/>
    <w:rsid w:val="004713F1"/>
    <w:rsid w:val="00472E98"/>
    <w:rsid w:val="0047367E"/>
    <w:rsid w:val="00473887"/>
    <w:rsid w:val="00474642"/>
    <w:rsid w:val="00477F43"/>
    <w:rsid w:val="00477FCB"/>
    <w:rsid w:val="00480A6A"/>
    <w:rsid w:val="004816A4"/>
    <w:rsid w:val="00484C5D"/>
    <w:rsid w:val="0048732A"/>
    <w:rsid w:val="00490AFD"/>
    <w:rsid w:val="00492536"/>
    <w:rsid w:val="00493527"/>
    <w:rsid w:val="00493CE3"/>
    <w:rsid w:val="004961BA"/>
    <w:rsid w:val="0049667C"/>
    <w:rsid w:val="00497E5A"/>
    <w:rsid w:val="004A0C0F"/>
    <w:rsid w:val="004A10BB"/>
    <w:rsid w:val="004A1E1E"/>
    <w:rsid w:val="004A3449"/>
    <w:rsid w:val="004A44FB"/>
    <w:rsid w:val="004A4A73"/>
    <w:rsid w:val="004A617D"/>
    <w:rsid w:val="004A6F8F"/>
    <w:rsid w:val="004A743C"/>
    <w:rsid w:val="004B00B4"/>
    <w:rsid w:val="004B0CC8"/>
    <w:rsid w:val="004B29B4"/>
    <w:rsid w:val="004B2D6B"/>
    <w:rsid w:val="004B3193"/>
    <w:rsid w:val="004B4200"/>
    <w:rsid w:val="004B4EEC"/>
    <w:rsid w:val="004B4FEF"/>
    <w:rsid w:val="004B5A0A"/>
    <w:rsid w:val="004B60D7"/>
    <w:rsid w:val="004B71F6"/>
    <w:rsid w:val="004B7A4D"/>
    <w:rsid w:val="004C1093"/>
    <w:rsid w:val="004C1C35"/>
    <w:rsid w:val="004C2203"/>
    <w:rsid w:val="004C3781"/>
    <w:rsid w:val="004C64BF"/>
    <w:rsid w:val="004C674C"/>
    <w:rsid w:val="004C70AB"/>
    <w:rsid w:val="004C76A8"/>
    <w:rsid w:val="004D0856"/>
    <w:rsid w:val="004D0E62"/>
    <w:rsid w:val="004D1C51"/>
    <w:rsid w:val="004D536C"/>
    <w:rsid w:val="004D6294"/>
    <w:rsid w:val="004D7E2B"/>
    <w:rsid w:val="004E070B"/>
    <w:rsid w:val="004E362B"/>
    <w:rsid w:val="004E5984"/>
    <w:rsid w:val="004E5A3D"/>
    <w:rsid w:val="004E6445"/>
    <w:rsid w:val="004E664D"/>
    <w:rsid w:val="004E6C4F"/>
    <w:rsid w:val="004F01C5"/>
    <w:rsid w:val="004F076B"/>
    <w:rsid w:val="004F3223"/>
    <w:rsid w:val="004F3F1A"/>
    <w:rsid w:val="004F4DAE"/>
    <w:rsid w:val="004F6842"/>
    <w:rsid w:val="004F6866"/>
    <w:rsid w:val="004F726C"/>
    <w:rsid w:val="004F7DFB"/>
    <w:rsid w:val="00500052"/>
    <w:rsid w:val="0050015F"/>
    <w:rsid w:val="00501847"/>
    <w:rsid w:val="00502B08"/>
    <w:rsid w:val="00504322"/>
    <w:rsid w:val="005058AC"/>
    <w:rsid w:val="00506849"/>
    <w:rsid w:val="00506B07"/>
    <w:rsid w:val="005071EF"/>
    <w:rsid w:val="00510166"/>
    <w:rsid w:val="00510ABF"/>
    <w:rsid w:val="005117FA"/>
    <w:rsid w:val="005122EB"/>
    <w:rsid w:val="00512613"/>
    <w:rsid w:val="005132CB"/>
    <w:rsid w:val="00513D71"/>
    <w:rsid w:val="00516308"/>
    <w:rsid w:val="00517BA9"/>
    <w:rsid w:val="005220AD"/>
    <w:rsid w:val="0052218D"/>
    <w:rsid w:val="00522C59"/>
    <w:rsid w:val="005232CD"/>
    <w:rsid w:val="005249A5"/>
    <w:rsid w:val="00525903"/>
    <w:rsid w:val="00526055"/>
    <w:rsid w:val="0052613D"/>
    <w:rsid w:val="00527A3E"/>
    <w:rsid w:val="00530BCB"/>
    <w:rsid w:val="005315DF"/>
    <w:rsid w:val="00532A03"/>
    <w:rsid w:val="0053340B"/>
    <w:rsid w:val="00533760"/>
    <w:rsid w:val="0053439F"/>
    <w:rsid w:val="00534FCF"/>
    <w:rsid w:val="00544312"/>
    <w:rsid w:val="005443D9"/>
    <w:rsid w:val="0054451B"/>
    <w:rsid w:val="00544992"/>
    <w:rsid w:val="00544E32"/>
    <w:rsid w:val="005455D8"/>
    <w:rsid w:val="00545B91"/>
    <w:rsid w:val="00545C12"/>
    <w:rsid w:val="00550082"/>
    <w:rsid w:val="00550266"/>
    <w:rsid w:val="005519F6"/>
    <w:rsid w:val="005522B0"/>
    <w:rsid w:val="005533C4"/>
    <w:rsid w:val="0055343D"/>
    <w:rsid w:val="00553EF1"/>
    <w:rsid w:val="0055502F"/>
    <w:rsid w:val="005566AE"/>
    <w:rsid w:val="005577E7"/>
    <w:rsid w:val="00561A43"/>
    <w:rsid w:val="00561D8F"/>
    <w:rsid w:val="00565184"/>
    <w:rsid w:val="00565337"/>
    <w:rsid w:val="005668D5"/>
    <w:rsid w:val="0056776F"/>
    <w:rsid w:val="005712D3"/>
    <w:rsid w:val="005713D4"/>
    <w:rsid w:val="005720CD"/>
    <w:rsid w:val="00573034"/>
    <w:rsid w:val="0057341D"/>
    <w:rsid w:val="005739E7"/>
    <w:rsid w:val="00575F20"/>
    <w:rsid w:val="00575FD2"/>
    <w:rsid w:val="005764BA"/>
    <w:rsid w:val="00576AD4"/>
    <w:rsid w:val="00576E29"/>
    <w:rsid w:val="005775DD"/>
    <w:rsid w:val="00581ADB"/>
    <w:rsid w:val="00582375"/>
    <w:rsid w:val="00584157"/>
    <w:rsid w:val="0058486F"/>
    <w:rsid w:val="00584B82"/>
    <w:rsid w:val="00585200"/>
    <w:rsid w:val="00590BDE"/>
    <w:rsid w:val="0059121C"/>
    <w:rsid w:val="0059145D"/>
    <w:rsid w:val="00591F6C"/>
    <w:rsid w:val="00592BA1"/>
    <w:rsid w:val="00594460"/>
    <w:rsid w:val="00594890"/>
    <w:rsid w:val="005949DD"/>
    <w:rsid w:val="00594B8E"/>
    <w:rsid w:val="0059547C"/>
    <w:rsid w:val="005976E2"/>
    <w:rsid w:val="005A1AAA"/>
    <w:rsid w:val="005A307D"/>
    <w:rsid w:val="005A3862"/>
    <w:rsid w:val="005A5577"/>
    <w:rsid w:val="005A5A84"/>
    <w:rsid w:val="005A670E"/>
    <w:rsid w:val="005A7848"/>
    <w:rsid w:val="005A7CF1"/>
    <w:rsid w:val="005B0770"/>
    <w:rsid w:val="005B0BE1"/>
    <w:rsid w:val="005B1E4E"/>
    <w:rsid w:val="005B3857"/>
    <w:rsid w:val="005B42C8"/>
    <w:rsid w:val="005B4343"/>
    <w:rsid w:val="005B5451"/>
    <w:rsid w:val="005B5DA2"/>
    <w:rsid w:val="005B7868"/>
    <w:rsid w:val="005C0526"/>
    <w:rsid w:val="005C1B24"/>
    <w:rsid w:val="005C388D"/>
    <w:rsid w:val="005C573E"/>
    <w:rsid w:val="005C65BB"/>
    <w:rsid w:val="005C67E3"/>
    <w:rsid w:val="005C687E"/>
    <w:rsid w:val="005C6FA7"/>
    <w:rsid w:val="005C7AE3"/>
    <w:rsid w:val="005D07BA"/>
    <w:rsid w:val="005D0882"/>
    <w:rsid w:val="005D3DB3"/>
    <w:rsid w:val="005D430C"/>
    <w:rsid w:val="005D4998"/>
    <w:rsid w:val="005D62DA"/>
    <w:rsid w:val="005D6A77"/>
    <w:rsid w:val="005D7C4E"/>
    <w:rsid w:val="005E0F84"/>
    <w:rsid w:val="005E1C59"/>
    <w:rsid w:val="005E22F9"/>
    <w:rsid w:val="005E38AA"/>
    <w:rsid w:val="005E3B44"/>
    <w:rsid w:val="005E50AA"/>
    <w:rsid w:val="005E5349"/>
    <w:rsid w:val="005E56F5"/>
    <w:rsid w:val="005E693F"/>
    <w:rsid w:val="005E6C25"/>
    <w:rsid w:val="005E7CA5"/>
    <w:rsid w:val="005F0FF3"/>
    <w:rsid w:val="005F1496"/>
    <w:rsid w:val="005F1F28"/>
    <w:rsid w:val="005F341A"/>
    <w:rsid w:val="005F4534"/>
    <w:rsid w:val="005F52C2"/>
    <w:rsid w:val="005F76E0"/>
    <w:rsid w:val="005F7CD1"/>
    <w:rsid w:val="006035DB"/>
    <w:rsid w:val="00603EEF"/>
    <w:rsid w:val="00604ADB"/>
    <w:rsid w:val="006053A3"/>
    <w:rsid w:val="00605FD4"/>
    <w:rsid w:val="00605FE8"/>
    <w:rsid w:val="00606525"/>
    <w:rsid w:val="006065A7"/>
    <w:rsid w:val="006074BF"/>
    <w:rsid w:val="00607FEA"/>
    <w:rsid w:val="00610F71"/>
    <w:rsid w:val="00611429"/>
    <w:rsid w:val="00612A19"/>
    <w:rsid w:val="00616CED"/>
    <w:rsid w:val="00616E0B"/>
    <w:rsid w:val="00617A12"/>
    <w:rsid w:val="00620638"/>
    <w:rsid w:val="00621C3C"/>
    <w:rsid w:val="00622F77"/>
    <w:rsid w:val="00623635"/>
    <w:rsid w:val="00623FEF"/>
    <w:rsid w:val="00624DC8"/>
    <w:rsid w:val="00625EC7"/>
    <w:rsid w:val="006268E1"/>
    <w:rsid w:val="00626FDB"/>
    <w:rsid w:val="0062721D"/>
    <w:rsid w:val="00633FB6"/>
    <w:rsid w:val="00635ADD"/>
    <w:rsid w:val="0063722E"/>
    <w:rsid w:val="00637376"/>
    <w:rsid w:val="00637544"/>
    <w:rsid w:val="0063775E"/>
    <w:rsid w:val="00637805"/>
    <w:rsid w:val="00637923"/>
    <w:rsid w:val="00637927"/>
    <w:rsid w:val="00640043"/>
    <w:rsid w:val="00642D52"/>
    <w:rsid w:val="006437EF"/>
    <w:rsid w:val="00643A6D"/>
    <w:rsid w:val="00643FB5"/>
    <w:rsid w:val="00645FF8"/>
    <w:rsid w:val="00646B58"/>
    <w:rsid w:val="00647768"/>
    <w:rsid w:val="00652235"/>
    <w:rsid w:val="0065270A"/>
    <w:rsid w:val="00653800"/>
    <w:rsid w:val="0065412F"/>
    <w:rsid w:val="006544E9"/>
    <w:rsid w:val="006550E2"/>
    <w:rsid w:val="00656464"/>
    <w:rsid w:val="006577BE"/>
    <w:rsid w:val="0066020E"/>
    <w:rsid w:val="00661981"/>
    <w:rsid w:val="006637FF"/>
    <w:rsid w:val="0066523D"/>
    <w:rsid w:val="00665DEF"/>
    <w:rsid w:val="00667C44"/>
    <w:rsid w:val="00670BB8"/>
    <w:rsid w:val="00672FB1"/>
    <w:rsid w:val="00673DF5"/>
    <w:rsid w:val="00674D8C"/>
    <w:rsid w:val="00675455"/>
    <w:rsid w:val="00677A08"/>
    <w:rsid w:val="00677EAB"/>
    <w:rsid w:val="00680CDA"/>
    <w:rsid w:val="00680F2C"/>
    <w:rsid w:val="00681E47"/>
    <w:rsid w:val="00681FDA"/>
    <w:rsid w:val="00682320"/>
    <w:rsid w:val="00685100"/>
    <w:rsid w:val="0068628A"/>
    <w:rsid w:val="00686F6B"/>
    <w:rsid w:val="00687E44"/>
    <w:rsid w:val="00690AE8"/>
    <w:rsid w:val="00690C74"/>
    <w:rsid w:val="00690FC5"/>
    <w:rsid w:val="00694561"/>
    <w:rsid w:val="00694BF7"/>
    <w:rsid w:val="00694DE7"/>
    <w:rsid w:val="006963F3"/>
    <w:rsid w:val="00696BB7"/>
    <w:rsid w:val="00696BEA"/>
    <w:rsid w:val="006A03AB"/>
    <w:rsid w:val="006A1903"/>
    <w:rsid w:val="006A2BDE"/>
    <w:rsid w:val="006A4AA7"/>
    <w:rsid w:val="006A4D78"/>
    <w:rsid w:val="006A569C"/>
    <w:rsid w:val="006A5CE4"/>
    <w:rsid w:val="006A64A1"/>
    <w:rsid w:val="006B103E"/>
    <w:rsid w:val="006B356F"/>
    <w:rsid w:val="006B5BBD"/>
    <w:rsid w:val="006B7258"/>
    <w:rsid w:val="006C0FBD"/>
    <w:rsid w:val="006C12FD"/>
    <w:rsid w:val="006C16FF"/>
    <w:rsid w:val="006C1F9E"/>
    <w:rsid w:val="006C238A"/>
    <w:rsid w:val="006C301C"/>
    <w:rsid w:val="006C436C"/>
    <w:rsid w:val="006C4FFD"/>
    <w:rsid w:val="006C6582"/>
    <w:rsid w:val="006C7DC9"/>
    <w:rsid w:val="006D3F79"/>
    <w:rsid w:val="006D4317"/>
    <w:rsid w:val="006D680D"/>
    <w:rsid w:val="006D6CBE"/>
    <w:rsid w:val="006D71BD"/>
    <w:rsid w:val="006D77AC"/>
    <w:rsid w:val="006E0BE7"/>
    <w:rsid w:val="006E0D2B"/>
    <w:rsid w:val="006E185D"/>
    <w:rsid w:val="006E4798"/>
    <w:rsid w:val="006E4CBF"/>
    <w:rsid w:val="006E5861"/>
    <w:rsid w:val="006F47E2"/>
    <w:rsid w:val="006F4CEC"/>
    <w:rsid w:val="006F51AD"/>
    <w:rsid w:val="006F58F3"/>
    <w:rsid w:val="006F6F23"/>
    <w:rsid w:val="006F7863"/>
    <w:rsid w:val="007000C5"/>
    <w:rsid w:val="00702D2B"/>
    <w:rsid w:val="00703FA6"/>
    <w:rsid w:val="007040DC"/>
    <w:rsid w:val="00704652"/>
    <w:rsid w:val="00704726"/>
    <w:rsid w:val="00704D09"/>
    <w:rsid w:val="007055D6"/>
    <w:rsid w:val="007056CA"/>
    <w:rsid w:val="007061D2"/>
    <w:rsid w:val="00706D5B"/>
    <w:rsid w:val="00706E9C"/>
    <w:rsid w:val="00710040"/>
    <w:rsid w:val="00711AFE"/>
    <w:rsid w:val="00711B38"/>
    <w:rsid w:val="00711FDB"/>
    <w:rsid w:val="00712360"/>
    <w:rsid w:val="00712E22"/>
    <w:rsid w:val="00714390"/>
    <w:rsid w:val="00714BC0"/>
    <w:rsid w:val="007218EE"/>
    <w:rsid w:val="00721F74"/>
    <w:rsid w:val="00722031"/>
    <w:rsid w:val="00722B3F"/>
    <w:rsid w:val="00723124"/>
    <w:rsid w:val="0072444A"/>
    <w:rsid w:val="007249C6"/>
    <w:rsid w:val="00724B14"/>
    <w:rsid w:val="007251DD"/>
    <w:rsid w:val="007300AA"/>
    <w:rsid w:val="0073290B"/>
    <w:rsid w:val="00733221"/>
    <w:rsid w:val="007337B4"/>
    <w:rsid w:val="0074026C"/>
    <w:rsid w:val="007414FD"/>
    <w:rsid w:val="007433E6"/>
    <w:rsid w:val="00743B04"/>
    <w:rsid w:val="00744147"/>
    <w:rsid w:val="00744535"/>
    <w:rsid w:val="00744671"/>
    <w:rsid w:val="007462D5"/>
    <w:rsid w:val="00750867"/>
    <w:rsid w:val="00750EC9"/>
    <w:rsid w:val="00751BF5"/>
    <w:rsid w:val="007542A0"/>
    <w:rsid w:val="00756C62"/>
    <w:rsid w:val="00756DDE"/>
    <w:rsid w:val="007602E8"/>
    <w:rsid w:val="00761B37"/>
    <w:rsid w:val="007625E7"/>
    <w:rsid w:val="00763607"/>
    <w:rsid w:val="00764385"/>
    <w:rsid w:val="007647A4"/>
    <w:rsid w:val="00764803"/>
    <w:rsid w:val="00764B58"/>
    <w:rsid w:val="007657B5"/>
    <w:rsid w:val="00765A81"/>
    <w:rsid w:val="007661A0"/>
    <w:rsid w:val="007676E1"/>
    <w:rsid w:val="00770C94"/>
    <w:rsid w:val="00770EA5"/>
    <w:rsid w:val="007711CE"/>
    <w:rsid w:val="00773B0C"/>
    <w:rsid w:val="00774266"/>
    <w:rsid w:val="007757F9"/>
    <w:rsid w:val="00780198"/>
    <w:rsid w:val="00782407"/>
    <w:rsid w:val="007829D6"/>
    <w:rsid w:val="00782C0C"/>
    <w:rsid w:val="00783CAF"/>
    <w:rsid w:val="0078418A"/>
    <w:rsid w:val="007841A2"/>
    <w:rsid w:val="007843F2"/>
    <w:rsid w:val="00786673"/>
    <w:rsid w:val="00786979"/>
    <w:rsid w:val="00787D3A"/>
    <w:rsid w:val="00791183"/>
    <w:rsid w:val="0079203E"/>
    <w:rsid w:val="00797ED7"/>
    <w:rsid w:val="007A3C1F"/>
    <w:rsid w:val="007A3EF2"/>
    <w:rsid w:val="007A47ED"/>
    <w:rsid w:val="007A60B1"/>
    <w:rsid w:val="007A7143"/>
    <w:rsid w:val="007A7661"/>
    <w:rsid w:val="007A79DD"/>
    <w:rsid w:val="007B0496"/>
    <w:rsid w:val="007B33E1"/>
    <w:rsid w:val="007B5C11"/>
    <w:rsid w:val="007B6754"/>
    <w:rsid w:val="007C0183"/>
    <w:rsid w:val="007C075C"/>
    <w:rsid w:val="007C2CEF"/>
    <w:rsid w:val="007C3669"/>
    <w:rsid w:val="007C454A"/>
    <w:rsid w:val="007C4614"/>
    <w:rsid w:val="007C54FF"/>
    <w:rsid w:val="007C5E7E"/>
    <w:rsid w:val="007C6B49"/>
    <w:rsid w:val="007C7F8B"/>
    <w:rsid w:val="007D25C1"/>
    <w:rsid w:val="007D2730"/>
    <w:rsid w:val="007D2B3D"/>
    <w:rsid w:val="007D3A5A"/>
    <w:rsid w:val="007D4589"/>
    <w:rsid w:val="007D4D0C"/>
    <w:rsid w:val="007D5389"/>
    <w:rsid w:val="007D6BE8"/>
    <w:rsid w:val="007D7C73"/>
    <w:rsid w:val="007E01E4"/>
    <w:rsid w:val="007E34FB"/>
    <w:rsid w:val="007E4964"/>
    <w:rsid w:val="007E5900"/>
    <w:rsid w:val="007F0B14"/>
    <w:rsid w:val="007F38F7"/>
    <w:rsid w:val="007F48E6"/>
    <w:rsid w:val="007F4D35"/>
    <w:rsid w:val="007F4FD7"/>
    <w:rsid w:val="007F591F"/>
    <w:rsid w:val="007F5CA5"/>
    <w:rsid w:val="007F6407"/>
    <w:rsid w:val="007F7157"/>
    <w:rsid w:val="007F73E4"/>
    <w:rsid w:val="0080070C"/>
    <w:rsid w:val="00800C11"/>
    <w:rsid w:val="00800EC2"/>
    <w:rsid w:val="008011CB"/>
    <w:rsid w:val="008016C6"/>
    <w:rsid w:val="0080286E"/>
    <w:rsid w:val="0080485E"/>
    <w:rsid w:val="00810EEF"/>
    <w:rsid w:val="00814AF4"/>
    <w:rsid w:val="008151C1"/>
    <w:rsid w:val="00816E78"/>
    <w:rsid w:val="00820BB0"/>
    <w:rsid w:val="008225F4"/>
    <w:rsid w:val="00822E2B"/>
    <w:rsid w:val="00824CF7"/>
    <w:rsid w:val="00827584"/>
    <w:rsid w:val="00832354"/>
    <w:rsid w:val="00832CEA"/>
    <w:rsid w:val="00832D18"/>
    <w:rsid w:val="00833471"/>
    <w:rsid w:val="00833FD8"/>
    <w:rsid w:val="00835548"/>
    <w:rsid w:val="0083763D"/>
    <w:rsid w:val="008379F9"/>
    <w:rsid w:val="0084066F"/>
    <w:rsid w:val="008415CE"/>
    <w:rsid w:val="008419E5"/>
    <w:rsid w:val="00841FC0"/>
    <w:rsid w:val="0084336B"/>
    <w:rsid w:val="0084481F"/>
    <w:rsid w:val="00844E60"/>
    <w:rsid w:val="00844EE9"/>
    <w:rsid w:val="0084592F"/>
    <w:rsid w:val="00845FBA"/>
    <w:rsid w:val="0085066B"/>
    <w:rsid w:val="00851DE7"/>
    <w:rsid w:val="00852B3A"/>
    <w:rsid w:val="00852E38"/>
    <w:rsid w:val="00853438"/>
    <w:rsid w:val="00854A73"/>
    <w:rsid w:val="00854C69"/>
    <w:rsid w:val="00855831"/>
    <w:rsid w:val="0085589D"/>
    <w:rsid w:val="00855DC1"/>
    <w:rsid w:val="00855FE7"/>
    <w:rsid w:val="0085622D"/>
    <w:rsid w:val="008574E2"/>
    <w:rsid w:val="00857FA8"/>
    <w:rsid w:val="0086416B"/>
    <w:rsid w:val="0086450B"/>
    <w:rsid w:val="008646AA"/>
    <w:rsid w:val="008656B9"/>
    <w:rsid w:val="008719BE"/>
    <w:rsid w:val="00873656"/>
    <w:rsid w:val="00877169"/>
    <w:rsid w:val="00877D0B"/>
    <w:rsid w:val="00877FD8"/>
    <w:rsid w:val="008852D3"/>
    <w:rsid w:val="00891AC2"/>
    <w:rsid w:val="00891B7E"/>
    <w:rsid w:val="00892BA6"/>
    <w:rsid w:val="008944D2"/>
    <w:rsid w:val="008953D1"/>
    <w:rsid w:val="00896EB5"/>
    <w:rsid w:val="008971DD"/>
    <w:rsid w:val="008974BC"/>
    <w:rsid w:val="00897D23"/>
    <w:rsid w:val="00897E35"/>
    <w:rsid w:val="00897E5D"/>
    <w:rsid w:val="008A0037"/>
    <w:rsid w:val="008A4044"/>
    <w:rsid w:val="008A57AF"/>
    <w:rsid w:val="008A590C"/>
    <w:rsid w:val="008A5AA1"/>
    <w:rsid w:val="008A5B5F"/>
    <w:rsid w:val="008A5FB3"/>
    <w:rsid w:val="008A6305"/>
    <w:rsid w:val="008B170D"/>
    <w:rsid w:val="008B1B75"/>
    <w:rsid w:val="008B2F5F"/>
    <w:rsid w:val="008B428A"/>
    <w:rsid w:val="008B478C"/>
    <w:rsid w:val="008B48C7"/>
    <w:rsid w:val="008B52C6"/>
    <w:rsid w:val="008B5DDB"/>
    <w:rsid w:val="008B68E3"/>
    <w:rsid w:val="008B741F"/>
    <w:rsid w:val="008B7CA6"/>
    <w:rsid w:val="008C0686"/>
    <w:rsid w:val="008C0AA9"/>
    <w:rsid w:val="008C3BB1"/>
    <w:rsid w:val="008C444A"/>
    <w:rsid w:val="008D0365"/>
    <w:rsid w:val="008D4137"/>
    <w:rsid w:val="008D414C"/>
    <w:rsid w:val="008D57FD"/>
    <w:rsid w:val="008D667B"/>
    <w:rsid w:val="008D7E81"/>
    <w:rsid w:val="008E0C1B"/>
    <w:rsid w:val="008E3BBC"/>
    <w:rsid w:val="008E61CE"/>
    <w:rsid w:val="008E6CB6"/>
    <w:rsid w:val="008E72F4"/>
    <w:rsid w:val="008E739D"/>
    <w:rsid w:val="008E74FA"/>
    <w:rsid w:val="008E7E5E"/>
    <w:rsid w:val="008F0AA6"/>
    <w:rsid w:val="008F385F"/>
    <w:rsid w:val="008F5278"/>
    <w:rsid w:val="008F5312"/>
    <w:rsid w:val="008F60A6"/>
    <w:rsid w:val="008F6465"/>
    <w:rsid w:val="0090142B"/>
    <w:rsid w:val="00901709"/>
    <w:rsid w:val="00901F2E"/>
    <w:rsid w:val="00903131"/>
    <w:rsid w:val="00903FD1"/>
    <w:rsid w:val="0090589D"/>
    <w:rsid w:val="009068BD"/>
    <w:rsid w:val="00907875"/>
    <w:rsid w:val="009105AE"/>
    <w:rsid w:val="00911985"/>
    <w:rsid w:val="00914771"/>
    <w:rsid w:val="009148AA"/>
    <w:rsid w:val="00914DE0"/>
    <w:rsid w:val="00915509"/>
    <w:rsid w:val="0091553A"/>
    <w:rsid w:val="009174FB"/>
    <w:rsid w:val="009225FF"/>
    <w:rsid w:val="00923A79"/>
    <w:rsid w:val="00925F82"/>
    <w:rsid w:val="00926242"/>
    <w:rsid w:val="0092715B"/>
    <w:rsid w:val="009273E9"/>
    <w:rsid w:val="009279E0"/>
    <w:rsid w:val="009302E0"/>
    <w:rsid w:val="00931066"/>
    <w:rsid w:val="00932519"/>
    <w:rsid w:val="009363BC"/>
    <w:rsid w:val="009420D1"/>
    <w:rsid w:val="00943684"/>
    <w:rsid w:val="00943D70"/>
    <w:rsid w:val="009454C3"/>
    <w:rsid w:val="00945ECD"/>
    <w:rsid w:val="00946C04"/>
    <w:rsid w:val="0095109F"/>
    <w:rsid w:val="009512BF"/>
    <w:rsid w:val="0095138E"/>
    <w:rsid w:val="00952120"/>
    <w:rsid w:val="00955F3C"/>
    <w:rsid w:val="00956E9B"/>
    <w:rsid w:val="009579D8"/>
    <w:rsid w:val="00957B79"/>
    <w:rsid w:val="00961463"/>
    <w:rsid w:val="00961584"/>
    <w:rsid w:val="00962D55"/>
    <w:rsid w:val="00962E5C"/>
    <w:rsid w:val="0096334B"/>
    <w:rsid w:val="00963927"/>
    <w:rsid w:val="00963A98"/>
    <w:rsid w:val="00964AE1"/>
    <w:rsid w:val="0096512B"/>
    <w:rsid w:val="009657D4"/>
    <w:rsid w:val="00966593"/>
    <w:rsid w:val="009706FF"/>
    <w:rsid w:val="00970C86"/>
    <w:rsid w:val="00971DBD"/>
    <w:rsid w:val="0097321F"/>
    <w:rsid w:val="00973B9C"/>
    <w:rsid w:val="009744F4"/>
    <w:rsid w:val="00975C73"/>
    <w:rsid w:val="009762D9"/>
    <w:rsid w:val="00976618"/>
    <w:rsid w:val="00980668"/>
    <w:rsid w:val="00980856"/>
    <w:rsid w:val="009819EF"/>
    <w:rsid w:val="00982E2C"/>
    <w:rsid w:val="00984D8B"/>
    <w:rsid w:val="0098538E"/>
    <w:rsid w:val="00985953"/>
    <w:rsid w:val="00985E8C"/>
    <w:rsid w:val="00987408"/>
    <w:rsid w:val="00987F7F"/>
    <w:rsid w:val="009910D0"/>
    <w:rsid w:val="009917C3"/>
    <w:rsid w:val="00992A6D"/>
    <w:rsid w:val="009930BA"/>
    <w:rsid w:val="00993332"/>
    <w:rsid w:val="00994F8C"/>
    <w:rsid w:val="00995C14"/>
    <w:rsid w:val="00996D50"/>
    <w:rsid w:val="00996ECE"/>
    <w:rsid w:val="0099761F"/>
    <w:rsid w:val="00997C9B"/>
    <w:rsid w:val="009A1A8A"/>
    <w:rsid w:val="009A2941"/>
    <w:rsid w:val="009A3D6E"/>
    <w:rsid w:val="009A500D"/>
    <w:rsid w:val="009A7018"/>
    <w:rsid w:val="009B1E5A"/>
    <w:rsid w:val="009B3EE1"/>
    <w:rsid w:val="009B43DF"/>
    <w:rsid w:val="009B7DF4"/>
    <w:rsid w:val="009C23B4"/>
    <w:rsid w:val="009C2CBC"/>
    <w:rsid w:val="009C3A19"/>
    <w:rsid w:val="009C3E96"/>
    <w:rsid w:val="009C7574"/>
    <w:rsid w:val="009D087F"/>
    <w:rsid w:val="009D151F"/>
    <w:rsid w:val="009D1FA1"/>
    <w:rsid w:val="009D3508"/>
    <w:rsid w:val="009D4D0D"/>
    <w:rsid w:val="009D5F07"/>
    <w:rsid w:val="009D6F29"/>
    <w:rsid w:val="009D7235"/>
    <w:rsid w:val="009D7D90"/>
    <w:rsid w:val="009E05C7"/>
    <w:rsid w:val="009E1518"/>
    <w:rsid w:val="009E1DCD"/>
    <w:rsid w:val="009E310D"/>
    <w:rsid w:val="009E408E"/>
    <w:rsid w:val="009E5C7D"/>
    <w:rsid w:val="009F00C1"/>
    <w:rsid w:val="009F093B"/>
    <w:rsid w:val="009F22DD"/>
    <w:rsid w:val="009F26C1"/>
    <w:rsid w:val="009F41AD"/>
    <w:rsid w:val="009F4B7C"/>
    <w:rsid w:val="009F6037"/>
    <w:rsid w:val="009F6895"/>
    <w:rsid w:val="009F6A7B"/>
    <w:rsid w:val="009F731D"/>
    <w:rsid w:val="009F7CEE"/>
    <w:rsid w:val="009F7E4A"/>
    <w:rsid w:val="00A01F98"/>
    <w:rsid w:val="00A02D33"/>
    <w:rsid w:val="00A0396A"/>
    <w:rsid w:val="00A04358"/>
    <w:rsid w:val="00A043CD"/>
    <w:rsid w:val="00A04F64"/>
    <w:rsid w:val="00A06202"/>
    <w:rsid w:val="00A10876"/>
    <w:rsid w:val="00A11EEF"/>
    <w:rsid w:val="00A132B6"/>
    <w:rsid w:val="00A13585"/>
    <w:rsid w:val="00A15183"/>
    <w:rsid w:val="00A177B2"/>
    <w:rsid w:val="00A212AE"/>
    <w:rsid w:val="00A21CD9"/>
    <w:rsid w:val="00A23588"/>
    <w:rsid w:val="00A23984"/>
    <w:rsid w:val="00A25920"/>
    <w:rsid w:val="00A25EA1"/>
    <w:rsid w:val="00A26028"/>
    <w:rsid w:val="00A268F5"/>
    <w:rsid w:val="00A279B1"/>
    <w:rsid w:val="00A327C5"/>
    <w:rsid w:val="00A34B86"/>
    <w:rsid w:val="00A35BC1"/>
    <w:rsid w:val="00A363E3"/>
    <w:rsid w:val="00A37F3B"/>
    <w:rsid w:val="00A41BCD"/>
    <w:rsid w:val="00A4234C"/>
    <w:rsid w:val="00A425DA"/>
    <w:rsid w:val="00A42FD5"/>
    <w:rsid w:val="00A43FC2"/>
    <w:rsid w:val="00A44038"/>
    <w:rsid w:val="00A44C57"/>
    <w:rsid w:val="00A456C8"/>
    <w:rsid w:val="00A46F71"/>
    <w:rsid w:val="00A50BD3"/>
    <w:rsid w:val="00A50C35"/>
    <w:rsid w:val="00A52590"/>
    <w:rsid w:val="00A54AD0"/>
    <w:rsid w:val="00A56F55"/>
    <w:rsid w:val="00A615E1"/>
    <w:rsid w:val="00A61609"/>
    <w:rsid w:val="00A61E8A"/>
    <w:rsid w:val="00A62AB2"/>
    <w:rsid w:val="00A63C94"/>
    <w:rsid w:val="00A64FED"/>
    <w:rsid w:val="00A667D4"/>
    <w:rsid w:val="00A67D69"/>
    <w:rsid w:val="00A7082D"/>
    <w:rsid w:val="00A720F4"/>
    <w:rsid w:val="00A72CB8"/>
    <w:rsid w:val="00A7604D"/>
    <w:rsid w:val="00A7618A"/>
    <w:rsid w:val="00A80B5F"/>
    <w:rsid w:val="00A81FC2"/>
    <w:rsid w:val="00A82BC2"/>
    <w:rsid w:val="00A83AAE"/>
    <w:rsid w:val="00A83C75"/>
    <w:rsid w:val="00A85855"/>
    <w:rsid w:val="00A875AB"/>
    <w:rsid w:val="00A9065B"/>
    <w:rsid w:val="00A93C96"/>
    <w:rsid w:val="00A93DCC"/>
    <w:rsid w:val="00A93EE2"/>
    <w:rsid w:val="00A96A2D"/>
    <w:rsid w:val="00AA0061"/>
    <w:rsid w:val="00AA085E"/>
    <w:rsid w:val="00AA1B93"/>
    <w:rsid w:val="00AA4EFA"/>
    <w:rsid w:val="00AA5BFE"/>
    <w:rsid w:val="00AA6CAE"/>
    <w:rsid w:val="00AA763F"/>
    <w:rsid w:val="00AB0A7B"/>
    <w:rsid w:val="00AB263F"/>
    <w:rsid w:val="00AB2811"/>
    <w:rsid w:val="00AB5FD1"/>
    <w:rsid w:val="00AB6FF4"/>
    <w:rsid w:val="00AC1B3C"/>
    <w:rsid w:val="00AC3644"/>
    <w:rsid w:val="00AC56A0"/>
    <w:rsid w:val="00AC5BFA"/>
    <w:rsid w:val="00AC6177"/>
    <w:rsid w:val="00AD1741"/>
    <w:rsid w:val="00AD3AB3"/>
    <w:rsid w:val="00AD442A"/>
    <w:rsid w:val="00AD4A00"/>
    <w:rsid w:val="00AD6B9E"/>
    <w:rsid w:val="00AD6C24"/>
    <w:rsid w:val="00AD759D"/>
    <w:rsid w:val="00AE0517"/>
    <w:rsid w:val="00AE1490"/>
    <w:rsid w:val="00AE44B2"/>
    <w:rsid w:val="00AE4C90"/>
    <w:rsid w:val="00AE523B"/>
    <w:rsid w:val="00AE6D0E"/>
    <w:rsid w:val="00AF10D0"/>
    <w:rsid w:val="00AF210C"/>
    <w:rsid w:val="00AF2208"/>
    <w:rsid w:val="00AF3B21"/>
    <w:rsid w:val="00AF457D"/>
    <w:rsid w:val="00AF4816"/>
    <w:rsid w:val="00AF5EF2"/>
    <w:rsid w:val="00AF6C17"/>
    <w:rsid w:val="00AF7142"/>
    <w:rsid w:val="00B01F96"/>
    <w:rsid w:val="00B022DB"/>
    <w:rsid w:val="00B037EB"/>
    <w:rsid w:val="00B04FD5"/>
    <w:rsid w:val="00B050F9"/>
    <w:rsid w:val="00B05397"/>
    <w:rsid w:val="00B07331"/>
    <w:rsid w:val="00B07E58"/>
    <w:rsid w:val="00B10829"/>
    <w:rsid w:val="00B10DD1"/>
    <w:rsid w:val="00B11424"/>
    <w:rsid w:val="00B11B1D"/>
    <w:rsid w:val="00B11D14"/>
    <w:rsid w:val="00B11E89"/>
    <w:rsid w:val="00B1405B"/>
    <w:rsid w:val="00B1477B"/>
    <w:rsid w:val="00B15394"/>
    <w:rsid w:val="00B15F90"/>
    <w:rsid w:val="00B1762F"/>
    <w:rsid w:val="00B2103B"/>
    <w:rsid w:val="00B21ADF"/>
    <w:rsid w:val="00B21B12"/>
    <w:rsid w:val="00B22105"/>
    <w:rsid w:val="00B222C1"/>
    <w:rsid w:val="00B2711F"/>
    <w:rsid w:val="00B272AD"/>
    <w:rsid w:val="00B27FFA"/>
    <w:rsid w:val="00B30792"/>
    <w:rsid w:val="00B307A1"/>
    <w:rsid w:val="00B309CA"/>
    <w:rsid w:val="00B3750A"/>
    <w:rsid w:val="00B37AE6"/>
    <w:rsid w:val="00B401AA"/>
    <w:rsid w:val="00B40CC2"/>
    <w:rsid w:val="00B413B0"/>
    <w:rsid w:val="00B4155D"/>
    <w:rsid w:val="00B435C3"/>
    <w:rsid w:val="00B44405"/>
    <w:rsid w:val="00B45459"/>
    <w:rsid w:val="00B45C25"/>
    <w:rsid w:val="00B46891"/>
    <w:rsid w:val="00B47388"/>
    <w:rsid w:val="00B5317D"/>
    <w:rsid w:val="00B555F5"/>
    <w:rsid w:val="00B55E04"/>
    <w:rsid w:val="00B568F6"/>
    <w:rsid w:val="00B56C66"/>
    <w:rsid w:val="00B57849"/>
    <w:rsid w:val="00B578C8"/>
    <w:rsid w:val="00B6186C"/>
    <w:rsid w:val="00B62AD2"/>
    <w:rsid w:val="00B631BD"/>
    <w:rsid w:val="00B63337"/>
    <w:rsid w:val="00B6502B"/>
    <w:rsid w:val="00B65D37"/>
    <w:rsid w:val="00B6640B"/>
    <w:rsid w:val="00B66EF5"/>
    <w:rsid w:val="00B6708A"/>
    <w:rsid w:val="00B70662"/>
    <w:rsid w:val="00B70ED8"/>
    <w:rsid w:val="00B71B15"/>
    <w:rsid w:val="00B724D2"/>
    <w:rsid w:val="00B74146"/>
    <w:rsid w:val="00B74177"/>
    <w:rsid w:val="00B74275"/>
    <w:rsid w:val="00B748B6"/>
    <w:rsid w:val="00B75E8A"/>
    <w:rsid w:val="00B802C6"/>
    <w:rsid w:val="00B80EBC"/>
    <w:rsid w:val="00B811D4"/>
    <w:rsid w:val="00B81C78"/>
    <w:rsid w:val="00B849D8"/>
    <w:rsid w:val="00B84A33"/>
    <w:rsid w:val="00B8657C"/>
    <w:rsid w:val="00B86656"/>
    <w:rsid w:val="00B87EE8"/>
    <w:rsid w:val="00B9086B"/>
    <w:rsid w:val="00B924BC"/>
    <w:rsid w:val="00B95019"/>
    <w:rsid w:val="00B954CF"/>
    <w:rsid w:val="00B957B7"/>
    <w:rsid w:val="00B96D9A"/>
    <w:rsid w:val="00B975CF"/>
    <w:rsid w:val="00BA142C"/>
    <w:rsid w:val="00BA59F0"/>
    <w:rsid w:val="00BA7515"/>
    <w:rsid w:val="00BA799E"/>
    <w:rsid w:val="00BB03F8"/>
    <w:rsid w:val="00BB22DC"/>
    <w:rsid w:val="00BB278B"/>
    <w:rsid w:val="00BB2A6D"/>
    <w:rsid w:val="00BB2D89"/>
    <w:rsid w:val="00BB3400"/>
    <w:rsid w:val="00BB45D6"/>
    <w:rsid w:val="00BB4C78"/>
    <w:rsid w:val="00BB6EA3"/>
    <w:rsid w:val="00BB74ED"/>
    <w:rsid w:val="00BB7BA8"/>
    <w:rsid w:val="00BC0F87"/>
    <w:rsid w:val="00BC2A75"/>
    <w:rsid w:val="00BC2AE4"/>
    <w:rsid w:val="00BC3BEE"/>
    <w:rsid w:val="00BC3E43"/>
    <w:rsid w:val="00BC5573"/>
    <w:rsid w:val="00BC58EE"/>
    <w:rsid w:val="00BC64E6"/>
    <w:rsid w:val="00BC7892"/>
    <w:rsid w:val="00BD080A"/>
    <w:rsid w:val="00BD3F09"/>
    <w:rsid w:val="00BD426D"/>
    <w:rsid w:val="00BD67E8"/>
    <w:rsid w:val="00BD6E4C"/>
    <w:rsid w:val="00BE08A6"/>
    <w:rsid w:val="00BE2A03"/>
    <w:rsid w:val="00BE3332"/>
    <w:rsid w:val="00BE33FE"/>
    <w:rsid w:val="00BE357E"/>
    <w:rsid w:val="00BE6654"/>
    <w:rsid w:val="00BE768B"/>
    <w:rsid w:val="00BF0A20"/>
    <w:rsid w:val="00BF0AA1"/>
    <w:rsid w:val="00BF173C"/>
    <w:rsid w:val="00BF5245"/>
    <w:rsid w:val="00BF65E4"/>
    <w:rsid w:val="00BF7509"/>
    <w:rsid w:val="00BF7612"/>
    <w:rsid w:val="00BF7683"/>
    <w:rsid w:val="00BF770C"/>
    <w:rsid w:val="00C0209B"/>
    <w:rsid w:val="00C04EDD"/>
    <w:rsid w:val="00C05A1D"/>
    <w:rsid w:val="00C07076"/>
    <w:rsid w:val="00C07634"/>
    <w:rsid w:val="00C07BC8"/>
    <w:rsid w:val="00C10B87"/>
    <w:rsid w:val="00C10FD5"/>
    <w:rsid w:val="00C14973"/>
    <w:rsid w:val="00C15197"/>
    <w:rsid w:val="00C157F4"/>
    <w:rsid w:val="00C17161"/>
    <w:rsid w:val="00C173A1"/>
    <w:rsid w:val="00C17B21"/>
    <w:rsid w:val="00C17D95"/>
    <w:rsid w:val="00C17FC8"/>
    <w:rsid w:val="00C200A3"/>
    <w:rsid w:val="00C21001"/>
    <w:rsid w:val="00C22269"/>
    <w:rsid w:val="00C25508"/>
    <w:rsid w:val="00C2554F"/>
    <w:rsid w:val="00C260BE"/>
    <w:rsid w:val="00C27989"/>
    <w:rsid w:val="00C30A69"/>
    <w:rsid w:val="00C31617"/>
    <w:rsid w:val="00C32E6B"/>
    <w:rsid w:val="00C34DFE"/>
    <w:rsid w:val="00C35E68"/>
    <w:rsid w:val="00C36469"/>
    <w:rsid w:val="00C36B71"/>
    <w:rsid w:val="00C37E0D"/>
    <w:rsid w:val="00C37FF0"/>
    <w:rsid w:val="00C410A9"/>
    <w:rsid w:val="00C41DEB"/>
    <w:rsid w:val="00C4271B"/>
    <w:rsid w:val="00C42CF6"/>
    <w:rsid w:val="00C43A45"/>
    <w:rsid w:val="00C43E45"/>
    <w:rsid w:val="00C44D08"/>
    <w:rsid w:val="00C45FC2"/>
    <w:rsid w:val="00C46C50"/>
    <w:rsid w:val="00C472C8"/>
    <w:rsid w:val="00C52A65"/>
    <w:rsid w:val="00C53509"/>
    <w:rsid w:val="00C53870"/>
    <w:rsid w:val="00C548C6"/>
    <w:rsid w:val="00C5579E"/>
    <w:rsid w:val="00C55E05"/>
    <w:rsid w:val="00C56C94"/>
    <w:rsid w:val="00C57226"/>
    <w:rsid w:val="00C60EB9"/>
    <w:rsid w:val="00C61AAC"/>
    <w:rsid w:val="00C64BD4"/>
    <w:rsid w:val="00C6794F"/>
    <w:rsid w:val="00C67CBD"/>
    <w:rsid w:val="00C67D9F"/>
    <w:rsid w:val="00C70EBF"/>
    <w:rsid w:val="00C71CC7"/>
    <w:rsid w:val="00C7288A"/>
    <w:rsid w:val="00C738A8"/>
    <w:rsid w:val="00C73F4D"/>
    <w:rsid w:val="00C75F8C"/>
    <w:rsid w:val="00C774D1"/>
    <w:rsid w:val="00C77CC6"/>
    <w:rsid w:val="00C77F06"/>
    <w:rsid w:val="00C81379"/>
    <w:rsid w:val="00C81B56"/>
    <w:rsid w:val="00C8243E"/>
    <w:rsid w:val="00C8287C"/>
    <w:rsid w:val="00C842E0"/>
    <w:rsid w:val="00C8615E"/>
    <w:rsid w:val="00C86CD8"/>
    <w:rsid w:val="00C87141"/>
    <w:rsid w:val="00C91410"/>
    <w:rsid w:val="00C9228D"/>
    <w:rsid w:val="00C92F9C"/>
    <w:rsid w:val="00C95390"/>
    <w:rsid w:val="00C9754D"/>
    <w:rsid w:val="00C9787F"/>
    <w:rsid w:val="00CA0577"/>
    <w:rsid w:val="00CA07A6"/>
    <w:rsid w:val="00CA171A"/>
    <w:rsid w:val="00CA185D"/>
    <w:rsid w:val="00CA270C"/>
    <w:rsid w:val="00CA530E"/>
    <w:rsid w:val="00CA534E"/>
    <w:rsid w:val="00CA7ABD"/>
    <w:rsid w:val="00CB2227"/>
    <w:rsid w:val="00CB2CBD"/>
    <w:rsid w:val="00CB5452"/>
    <w:rsid w:val="00CB5F6B"/>
    <w:rsid w:val="00CB641D"/>
    <w:rsid w:val="00CB74C3"/>
    <w:rsid w:val="00CC075C"/>
    <w:rsid w:val="00CC321A"/>
    <w:rsid w:val="00CC428C"/>
    <w:rsid w:val="00CC6790"/>
    <w:rsid w:val="00CD009C"/>
    <w:rsid w:val="00CD0DDA"/>
    <w:rsid w:val="00CD23FB"/>
    <w:rsid w:val="00CD2A1C"/>
    <w:rsid w:val="00CD4A7B"/>
    <w:rsid w:val="00CD5709"/>
    <w:rsid w:val="00CD7AE2"/>
    <w:rsid w:val="00CE042E"/>
    <w:rsid w:val="00CE128A"/>
    <w:rsid w:val="00CE1B0C"/>
    <w:rsid w:val="00CE3B32"/>
    <w:rsid w:val="00CE6F3D"/>
    <w:rsid w:val="00CE7D47"/>
    <w:rsid w:val="00CF0894"/>
    <w:rsid w:val="00CF10B5"/>
    <w:rsid w:val="00CF2E30"/>
    <w:rsid w:val="00CF38DA"/>
    <w:rsid w:val="00CF3F59"/>
    <w:rsid w:val="00CF421E"/>
    <w:rsid w:val="00CF4AAB"/>
    <w:rsid w:val="00CF4BCF"/>
    <w:rsid w:val="00CF4C73"/>
    <w:rsid w:val="00CF5656"/>
    <w:rsid w:val="00CF6A09"/>
    <w:rsid w:val="00D00F7A"/>
    <w:rsid w:val="00D01E5F"/>
    <w:rsid w:val="00D023B5"/>
    <w:rsid w:val="00D02C81"/>
    <w:rsid w:val="00D03A7D"/>
    <w:rsid w:val="00D03E55"/>
    <w:rsid w:val="00D05C9A"/>
    <w:rsid w:val="00D067A4"/>
    <w:rsid w:val="00D075E2"/>
    <w:rsid w:val="00D119DF"/>
    <w:rsid w:val="00D154E4"/>
    <w:rsid w:val="00D159A0"/>
    <w:rsid w:val="00D1602B"/>
    <w:rsid w:val="00D23065"/>
    <w:rsid w:val="00D23BF5"/>
    <w:rsid w:val="00D24A52"/>
    <w:rsid w:val="00D27FA2"/>
    <w:rsid w:val="00D27FB3"/>
    <w:rsid w:val="00D31B93"/>
    <w:rsid w:val="00D32295"/>
    <w:rsid w:val="00D322BF"/>
    <w:rsid w:val="00D33A2D"/>
    <w:rsid w:val="00D3476F"/>
    <w:rsid w:val="00D34C78"/>
    <w:rsid w:val="00D3711D"/>
    <w:rsid w:val="00D37F09"/>
    <w:rsid w:val="00D4050A"/>
    <w:rsid w:val="00D40B24"/>
    <w:rsid w:val="00D421AF"/>
    <w:rsid w:val="00D42EEC"/>
    <w:rsid w:val="00D47708"/>
    <w:rsid w:val="00D512CF"/>
    <w:rsid w:val="00D52203"/>
    <w:rsid w:val="00D527F9"/>
    <w:rsid w:val="00D540AB"/>
    <w:rsid w:val="00D5451D"/>
    <w:rsid w:val="00D55763"/>
    <w:rsid w:val="00D55EC7"/>
    <w:rsid w:val="00D6034E"/>
    <w:rsid w:val="00D60F63"/>
    <w:rsid w:val="00D64CFD"/>
    <w:rsid w:val="00D67B54"/>
    <w:rsid w:val="00D73EBA"/>
    <w:rsid w:val="00D82B88"/>
    <w:rsid w:val="00D82FBB"/>
    <w:rsid w:val="00D84783"/>
    <w:rsid w:val="00D856B5"/>
    <w:rsid w:val="00D862DA"/>
    <w:rsid w:val="00D8774F"/>
    <w:rsid w:val="00D90DE1"/>
    <w:rsid w:val="00D90E7B"/>
    <w:rsid w:val="00D9119C"/>
    <w:rsid w:val="00D915C0"/>
    <w:rsid w:val="00D95113"/>
    <w:rsid w:val="00D967C7"/>
    <w:rsid w:val="00D96E1C"/>
    <w:rsid w:val="00D9778C"/>
    <w:rsid w:val="00D97EBF"/>
    <w:rsid w:val="00DA0336"/>
    <w:rsid w:val="00DA086E"/>
    <w:rsid w:val="00DA0E58"/>
    <w:rsid w:val="00DA122C"/>
    <w:rsid w:val="00DA1F50"/>
    <w:rsid w:val="00DA493E"/>
    <w:rsid w:val="00DB0949"/>
    <w:rsid w:val="00DB0B68"/>
    <w:rsid w:val="00DB25F9"/>
    <w:rsid w:val="00DB2EE0"/>
    <w:rsid w:val="00DB59B7"/>
    <w:rsid w:val="00DC08A8"/>
    <w:rsid w:val="00DC1D58"/>
    <w:rsid w:val="00DC2920"/>
    <w:rsid w:val="00DC2D6C"/>
    <w:rsid w:val="00DC35A1"/>
    <w:rsid w:val="00DC3C22"/>
    <w:rsid w:val="00DC43AB"/>
    <w:rsid w:val="00DC4E7B"/>
    <w:rsid w:val="00DD1095"/>
    <w:rsid w:val="00DD6266"/>
    <w:rsid w:val="00DD69E2"/>
    <w:rsid w:val="00DD6E0F"/>
    <w:rsid w:val="00DE0DD8"/>
    <w:rsid w:val="00DE2266"/>
    <w:rsid w:val="00DE263F"/>
    <w:rsid w:val="00DE6CA0"/>
    <w:rsid w:val="00DF0464"/>
    <w:rsid w:val="00DF394B"/>
    <w:rsid w:val="00DF3CC4"/>
    <w:rsid w:val="00DF48B9"/>
    <w:rsid w:val="00DF61EF"/>
    <w:rsid w:val="00DF7C46"/>
    <w:rsid w:val="00DF7DA5"/>
    <w:rsid w:val="00E044D4"/>
    <w:rsid w:val="00E0473E"/>
    <w:rsid w:val="00E04A1B"/>
    <w:rsid w:val="00E066BD"/>
    <w:rsid w:val="00E06D95"/>
    <w:rsid w:val="00E07631"/>
    <w:rsid w:val="00E078DD"/>
    <w:rsid w:val="00E12E04"/>
    <w:rsid w:val="00E136AA"/>
    <w:rsid w:val="00E13FAF"/>
    <w:rsid w:val="00E146F5"/>
    <w:rsid w:val="00E15204"/>
    <w:rsid w:val="00E17698"/>
    <w:rsid w:val="00E222B7"/>
    <w:rsid w:val="00E23456"/>
    <w:rsid w:val="00E27B9A"/>
    <w:rsid w:val="00E330B8"/>
    <w:rsid w:val="00E34B3C"/>
    <w:rsid w:val="00E354E0"/>
    <w:rsid w:val="00E35F72"/>
    <w:rsid w:val="00E366B3"/>
    <w:rsid w:val="00E36D9E"/>
    <w:rsid w:val="00E37608"/>
    <w:rsid w:val="00E4024D"/>
    <w:rsid w:val="00E4107D"/>
    <w:rsid w:val="00E41252"/>
    <w:rsid w:val="00E41DE4"/>
    <w:rsid w:val="00E42D8E"/>
    <w:rsid w:val="00E45A10"/>
    <w:rsid w:val="00E46E24"/>
    <w:rsid w:val="00E47300"/>
    <w:rsid w:val="00E50842"/>
    <w:rsid w:val="00E50DA6"/>
    <w:rsid w:val="00E5143D"/>
    <w:rsid w:val="00E516EB"/>
    <w:rsid w:val="00E52D6A"/>
    <w:rsid w:val="00E5391E"/>
    <w:rsid w:val="00E548CB"/>
    <w:rsid w:val="00E54A84"/>
    <w:rsid w:val="00E54DF6"/>
    <w:rsid w:val="00E55598"/>
    <w:rsid w:val="00E62D40"/>
    <w:rsid w:val="00E631B0"/>
    <w:rsid w:val="00E64AF7"/>
    <w:rsid w:val="00E66B1A"/>
    <w:rsid w:val="00E67DFB"/>
    <w:rsid w:val="00E71E72"/>
    <w:rsid w:val="00E74497"/>
    <w:rsid w:val="00E744D2"/>
    <w:rsid w:val="00E74E88"/>
    <w:rsid w:val="00E7713E"/>
    <w:rsid w:val="00E810BD"/>
    <w:rsid w:val="00E812AD"/>
    <w:rsid w:val="00E81E21"/>
    <w:rsid w:val="00E82CBB"/>
    <w:rsid w:val="00E83245"/>
    <w:rsid w:val="00E854D7"/>
    <w:rsid w:val="00E8553B"/>
    <w:rsid w:val="00E85873"/>
    <w:rsid w:val="00E8771F"/>
    <w:rsid w:val="00E9030F"/>
    <w:rsid w:val="00E907DF"/>
    <w:rsid w:val="00E92BD5"/>
    <w:rsid w:val="00E934AB"/>
    <w:rsid w:val="00E960D8"/>
    <w:rsid w:val="00EA23CB"/>
    <w:rsid w:val="00EA2C8D"/>
    <w:rsid w:val="00EA3366"/>
    <w:rsid w:val="00EA3C88"/>
    <w:rsid w:val="00EA4C6F"/>
    <w:rsid w:val="00EA5BC8"/>
    <w:rsid w:val="00EA68DE"/>
    <w:rsid w:val="00EA692D"/>
    <w:rsid w:val="00EA6B83"/>
    <w:rsid w:val="00EA71A2"/>
    <w:rsid w:val="00EA7453"/>
    <w:rsid w:val="00EB01DD"/>
    <w:rsid w:val="00EB1786"/>
    <w:rsid w:val="00EB3DF7"/>
    <w:rsid w:val="00EB4137"/>
    <w:rsid w:val="00EB431F"/>
    <w:rsid w:val="00EB4A92"/>
    <w:rsid w:val="00EB4FD1"/>
    <w:rsid w:val="00EB56A2"/>
    <w:rsid w:val="00EC1D0D"/>
    <w:rsid w:val="00EC60E3"/>
    <w:rsid w:val="00EC6253"/>
    <w:rsid w:val="00EC6FBF"/>
    <w:rsid w:val="00EC72C1"/>
    <w:rsid w:val="00ED07C6"/>
    <w:rsid w:val="00ED1FD3"/>
    <w:rsid w:val="00ED32A2"/>
    <w:rsid w:val="00ED335F"/>
    <w:rsid w:val="00ED644E"/>
    <w:rsid w:val="00ED6EE1"/>
    <w:rsid w:val="00ED768C"/>
    <w:rsid w:val="00ED7DD3"/>
    <w:rsid w:val="00EE1454"/>
    <w:rsid w:val="00EE5A67"/>
    <w:rsid w:val="00EE6894"/>
    <w:rsid w:val="00EE6BAF"/>
    <w:rsid w:val="00EE6D9C"/>
    <w:rsid w:val="00EE74F1"/>
    <w:rsid w:val="00EE7B83"/>
    <w:rsid w:val="00EF019A"/>
    <w:rsid w:val="00EF113F"/>
    <w:rsid w:val="00EF1352"/>
    <w:rsid w:val="00EF1457"/>
    <w:rsid w:val="00EF1668"/>
    <w:rsid w:val="00EF3835"/>
    <w:rsid w:val="00EF54D6"/>
    <w:rsid w:val="00EF5B89"/>
    <w:rsid w:val="00EF6C19"/>
    <w:rsid w:val="00F0111B"/>
    <w:rsid w:val="00F0125C"/>
    <w:rsid w:val="00F01AA5"/>
    <w:rsid w:val="00F024D3"/>
    <w:rsid w:val="00F02889"/>
    <w:rsid w:val="00F02B6C"/>
    <w:rsid w:val="00F03DA2"/>
    <w:rsid w:val="00F040A8"/>
    <w:rsid w:val="00F046FE"/>
    <w:rsid w:val="00F04A60"/>
    <w:rsid w:val="00F060C9"/>
    <w:rsid w:val="00F068A7"/>
    <w:rsid w:val="00F06FE0"/>
    <w:rsid w:val="00F07A0F"/>
    <w:rsid w:val="00F10925"/>
    <w:rsid w:val="00F1235E"/>
    <w:rsid w:val="00F134E8"/>
    <w:rsid w:val="00F13A3D"/>
    <w:rsid w:val="00F1456F"/>
    <w:rsid w:val="00F151E9"/>
    <w:rsid w:val="00F15553"/>
    <w:rsid w:val="00F15DBF"/>
    <w:rsid w:val="00F21702"/>
    <w:rsid w:val="00F21E20"/>
    <w:rsid w:val="00F2253D"/>
    <w:rsid w:val="00F22D72"/>
    <w:rsid w:val="00F23328"/>
    <w:rsid w:val="00F2430D"/>
    <w:rsid w:val="00F24DE7"/>
    <w:rsid w:val="00F24EAF"/>
    <w:rsid w:val="00F27DA3"/>
    <w:rsid w:val="00F27F73"/>
    <w:rsid w:val="00F3135E"/>
    <w:rsid w:val="00F3229B"/>
    <w:rsid w:val="00F32DF2"/>
    <w:rsid w:val="00F3338B"/>
    <w:rsid w:val="00F343DF"/>
    <w:rsid w:val="00F366D3"/>
    <w:rsid w:val="00F3684D"/>
    <w:rsid w:val="00F373A0"/>
    <w:rsid w:val="00F406D0"/>
    <w:rsid w:val="00F40B57"/>
    <w:rsid w:val="00F414CB"/>
    <w:rsid w:val="00F42C42"/>
    <w:rsid w:val="00F44DB5"/>
    <w:rsid w:val="00F47B5E"/>
    <w:rsid w:val="00F51AD5"/>
    <w:rsid w:val="00F53622"/>
    <w:rsid w:val="00F53AE9"/>
    <w:rsid w:val="00F54247"/>
    <w:rsid w:val="00F5468E"/>
    <w:rsid w:val="00F55CC5"/>
    <w:rsid w:val="00F56414"/>
    <w:rsid w:val="00F5667C"/>
    <w:rsid w:val="00F575A5"/>
    <w:rsid w:val="00F57619"/>
    <w:rsid w:val="00F605CA"/>
    <w:rsid w:val="00F60977"/>
    <w:rsid w:val="00F60A5E"/>
    <w:rsid w:val="00F6261F"/>
    <w:rsid w:val="00F62922"/>
    <w:rsid w:val="00F63D86"/>
    <w:rsid w:val="00F654C9"/>
    <w:rsid w:val="00F66152"/>
    <w:rsid w:val="00F663B7"/>
    <w:rsid w:val="00F7060B"/>
    <w:rsid w:val="00F70632"/>
    <w:rsid w:val="00F70F19"/>
    <w:rsid w:val="00F70FEA"/>
    <w:rsid w:val="00F715C8"/>
    <w:rsid w:val="00F72508"/>
    <w:rsid w:val="00F735E7"/>
    <w:rsid w:val="00F73760"/>
    <w:rsid w:val="00F73D59"/>
    <w:rsid w:val="00F740B2"/>
    <w:rsid w:val="00F76EB5"/>
    <w:rsid w:val="00F7745C"/>
    <w:rsid w:val="00F8172E"/>
    <w:rsid w:val="00F83377"/>
    <w:rsid w:val="00F84F8C"/>
    <w:rsid w:val="00F91ACE"/>
    <w:rsid w:val="00F91E71"/>
    <w:rsid w:val="00F92E8D"/>
    <w:rsid w:val="00F9368B"/>
    <w:rsid w:val="00F950E7"/>
    <w:rsid w:val="00F95858"/>
    <w:rsid w:val="00F96B38"/>
    <w:rsid w:val="00F97084"/>
    <w:rsid w:val="00F97FD4"/>
    <w:rsid w:val="00FA0647"/>
    <w:rsid w:val="00FA1715"/>
    <w:rsid w:val="00FA2265"/>
    <w:rsid w:val="00FA45C2"/>
    <w:rsid w:val="00FA5F25"/>
    <w:rsid w:val="00FA61D3"/>
    <w:rsid w:val="00FA67DC"/>
    <w:rsid w:val="00FA73F1"/>
    <w:rsid w:val="00FB1BE7"/>
    <w:rsid w:val="00FB1C53"/>
    <w:rsid w:val="00FB33EC"/>
    <w:rsid w:val="00FB61CC"/>
    <w:rsid w:val="00FC0B01"/>
    <w:rsid w:val="00FC4383"/>
    <w:rsid w:val="00FC49FA"/>
    <w:rsid w:val="00FC50E6"/>
    <w:rsid w:val="00FC61EA"/>
    <w:rsid w:val="00FC6E6B"/>
    <w:rsid w:val="00FC7E2D"/>
    <w:rsid w:val="00FD08DF"/>
    <w:rsid w:val="00FD17F0"/>
    <w:rsid w:val="00FD1A9C"/>
    <w:rsid w:val="00FD2697"/>
    <w:rsid w:val="00FD2E76"/>
    <w:rsid w:val="00FD3904"/>
    <w:rsid w:val="00FD526E"/>
    <w:rsid w:val="00FD5863"/>
    <w:rsid w:val="00FD5E29"/>
    <w:rsid w:val="00FD7A3A"/>
    <w:rsid w:val="00FE11D9"/>
    <w:rsid w:val="00FE1856"/>
    <w:rsid w:val="00FE1C62"/>
    <w:rsid w:val="00FE47BF"/>
    <w:rsid w:val="00FE5043"/>
    <w:rsid w:val="00FE7D1A"/>
    <w:rsid w:val="00FF0F0D"/>
    <w:rsid w:val="00FF1912"/>
    <w:rsid w:val="00FF1A8B"/>
    <w:rsid w:val="00FF2334"/>
    <w:rsid w:val="00FF2892"/>
    <w:rsid w:val="00FF2F9B"/>
    <w:rsid w:val="00FF31DD"/>
    <w:rsid w:val="00FF36DF"/>
    <w:rsid w:val="00FF37B4"/>
    <w:rsid w:val="00FF6416"/>
    <w:rsid w:val="00FF67E4"/>
    <w:rsid w:val="00FF7569"/>
    <w:rsid w:val="00FF796D"/>
    <w:rsid w:val="00FF7F6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basedOn w:val="Fuentedeprrafopredeter"/>
    <w:link w:val="Textoindependiente"/>
    <w:rsid w:val="00820BB0"/>
    <w:rPr>
      <w:rFonts w:ascii="ZapfHumnst BT" w:hAnsi="ZapfHumnst BT"/>
      <w:bCs/>
      <w:sz w:val="18"/>
      <w:szCs w:val="24"/>
      <w:lang w:val="es-MX"/>
    </w:rPr>
  </w:style>
  <w:style w:type="character" w:styleId="nfasis">
    <w:name w:val="Emphasis"/>
    <w:basedOn w:val="Fuentedeprrafopredeter"/>
    <w:qFormat/>
    <w:rsid w:val="00363310"/>
    <w:rPr>
      <w:i/>
      <w:iCs/>
    </w:rPr>
  </w:style>
  <w:style w:type="character" w:customStyle="1" w:styleId="Ttulo1Car">
    <w:name w:val="Título 1 Car"/>
    <w:basedOn w:val="Fuentedeprrafopredeter"/>
    <w:link w:val="Ttulo1"/>
    <w:rsid w:val="00764803"/>
    <w:rPr>
      <w:b/>
      <w:bCs/>
      <w:sz w:val="24"/>
      <w:szCs w:val="24"/>
      <w:lang w:val="es-MX"/>
    </w:rPr>
  </w:style>
  <w:style w:type="character" w:customStyle="1" w:styleId="Ttulo2Car">
    <w:name w:val="Título 2 Car"/>
    <w:basedOn w:val="Fuentedeprrafopredeter"/>
    <w:link w:val="Ttulo2"/>
    <w:rsid w:val="00764803"/>
    <w:rPr>
      <w:b/>
      <w:bCs/>
      <w:sz w:val="24"/>
      <w:szCs w:val="24"/>
      <w:lang w:val="es-MX"/>
    </w:rPr>
  </w:style>
  <w:style w:type="character" w:customStyle="1" w:styleId="Ttulo5Car">
    <w:name w:val="Título 5 Car"/>
    <w:basedOn w:val="Fuentedeprrafopredeter"/>
    <w:link w:val="Ttulo5"/>
    <w:rsid w:val="00764803"/>
    <w:rPr>
      <w:rFonts w:ascii="Arial" w:hAnsi="Arial"/>
      <w:b/>
      <w:sz w:val="18"/>
      <w:szCs w:val="24"/>
      <w:lang w:val="es-MX"/>
    </w:rPr>
  </w:style>
  <w:style w:type="character" w:customStyle="1" w:styleId="Textoindependiente2Car">
    <w:name w:val="Texto independiente 2 Car"/>
    <w:basedOn w:val="Fuentedeprrafopredeter"/>
    <w:link w:val="Textoindependiente2"/>
    <w:rsid w:val="00764803"/>
    <w:rPr>
      <w:rFonts w:ascii="Arial" w:hAnsi="Arial" w:cs="Arial"/>
      <w:sz w:val="22"/>
      <w:szCs w:val="22"/>
      <w:lang w:val="es-MX"/>
    </w:rPr>
  </w:style>
  <w:style w:type="character" w:customStyle="1" w:styleId="EncabezadoCar">
    <w:name w:val="Encabezado Car"/>
    <w:basedOn w:val="Fuentedeprrafopredeter"/>
    <w:link w:val="Encabezado"/>
    <w:rsid w:val="00764803"/>
    <w:rPr>
      <w:sz w:val="24"/>
      <w:szCs w:val="24"/>
      <w:lang w:val="es-MX"/>
    </w:rPr>
  </w:style>
  <w:style w:type="character" w:customStyle="1" w:styleId="PiedepginaCar">
    <w:name w:val="Pie de página Car"/>
    <w:basedOn w:val="Fuentedeprrafopredeter"/>
    <w:link w:val="Piedepgina"/>
    <w:rsid w:val="00764803"/>
    <w:rPr>
      <w:sz w:val="24"/>
      <w:szCs w:val="24"/>
      <w:lang w:val="es-MX"/>
    </w:rPr>
  </w:style>
  <w:style w:type="character" w:customStyle="1" w:styleId="TextodegloboCar">
    <w:name w:val="Texto de globo Car"/>
    <w:basedOn w:val="Fuentedeprrafopredeter"/>
    <w:link w:val="Textodeglobo"/>
    <w:semiHidden/>
    <w:rsid w:val="00764803"/>
    <w:rPr>
      <w:rFonts w:ascii="Tahoma" w:hAnsi="Tahoma" w:cs="Tahoma"/>
      <w:sz w:val="16"/>
      <w:szCs w:val="16"/>
      <w:lang w:val="es-MX"/>
    </w:rPr>
  </w:style>
  <w:style w:type="paragraph" w:customStyle="1" w:styleId="Texto">
    <w:name w:val="Texto"/>
    <w:basedOn w:val="Normal"/>
    <w:link w:val="TextoCar"/>
    <w:qFormat/>
    <w:rsid w:val="00764803"/>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764803"/>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D1"/>
    <w:rPr>
      <w:sz w:val="24"/>
      <w:szCs w:val="24"/>
      <w:lang w:val="es-MX"/>
    </w:rPr>
  </w:style>
  <w:style w:type="paragraph" w:styleId="Ttulo1">
    <w:name w:val="heading 1"/>
    <w:basedOn w:val="Normal"/>
    <w:next w:val="Normal"/>
    <w:link w:val="Ttulo1Car"/>
    <w:qFormat/>
    <w:rsid w:val="00153576"/>
    <w:pPr>
      <w:keepNext/>
      <w:outlineLvl w:val="0"/>
    </w:pPr>
    <w:rPr>
      <w:b/>
      <w:bCs/>
    </w:rPr>
  </w:style>
  <w:style w:type="paragraph" w:styleId="Ttulo2">
    <w:name w:val="heading 2"/>
    <w:basedOn w:val="Normal"/>
    <w:next w:val="Normal"/>
    <w:link w:val="Ttulo2Car"/>
    <w:qFormat/>
    <w:rsid w:val="00153576"/>
    <w:pPr>
      <w:keepNext/>
      <w:ind w:left="360"/>
      <w:outlineLvl w:val="1"/>
    </w:pPr>
    <w:rPr>
      <w:b/>
      <w:bCs/>
    </w:rPr>
  </w:style>
  <w:style w:type="paragraph" w:styleId="Ttulo5">
    <w:name w:val="heading 5"/>
    <w:basedOn w:val="Normal"/>
    <w:next w:val="Normal"/>
    <w:link w:val="Ttulo5Car"/>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53576"/>
    <w:pPr>
      <w:jc w:val="both"/>
    </w:pPr>
    <w:rPr>
      <w:rFonts w:ascii="Arial" w:hAnsi="Arial" w:cs="Arial"/>
      <w:sz w:val="22"/>
      <w:szCs w:val="22"/>
    </w:rPr>
  </w:style>
  <w:style w:type="paragraph" w:styleId="Encabezado">
    <w:name w:val="header"/>
    <w:basedOn w:val="Normal"/>
    <w:link w:val="EncabezadoCar"/>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link w:val="PiedepginaCar"/>
    <w:rsid w:val="00153576"/>
    <w:pPr>
      <w:tabs>
        <w:tab w:val="center" w:pos="4419"/>
        <w:tab w:val="right" w:pos="8838"/>
      </w:tabs>
    </w:pPr>
  </w:style>
  <w:style w:type="paragraph" w:styleId="Textoindependiente">
    <w:name w:val="Body Text"/>
    <w:basedOn w:val="Normal"/>
    <w:link w:val="TextoindependienteCar"/>
    <w:rsid w:val="00153576"/>
    <w:pPr>
      <w:jc w:val="both"/>
    </w:pPr>
    <w:rPr>
      <w:rFonts w:ascii="ZapfHumnst BT" w:hAnsi="ZapfHumnst BT"/>
      <w:bCs/>
      <w:sz w:val="18"/>
    </w:rPr>
  </w:style>
  <w:style w:type="paragraph" w:styleId="Textodeglobo">
    <w:name w:val="Balloon Text"/>
    <w:basedOn w:val="Normal"/>
    <w:link w:val="TextodegloboCar"/>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character" w:customStyle="1" w:styleId="TextoindependienteCar">
    <w:name w:val="Texto independiente Car"/>
    <w:basedOn w:val="Fuentedeprrafopredeter"/>
    <w:link w:val="Textoindependiente"/>
    <w:rsid w:val="00820BB0"/>
    <w:rPr>
      <w:rFonts w:ascii="ZapfHumnst BT" w:hAnsi="ZapfHumnst BT"/>
      <w:bCs/>
      <w:sz w:val="18"/>
      <w:szCs w:val="24"/>
      <w:lang w:val="es-MX"/>
    </w:rPr>
  </w:style>
  <w:style w:type="character" w:styleId="nfasis">
    <w:name w:val="Emphasis"/>
    <w:basedOn w:val="Fuentedeprrafopredeter"/>
    <w:qFormat/>
    <w:rsid w:val="00363310"/>
    <w:rPr>
      <w:i/>
      <w:iCs/>
    </w:rPr>
  </w:style>
  <w:style w:type="character" w:customStyle="1" w:styleId="Ttulo1Car">
    <w:name w:val="Título 1 Car"/>
    <w:basedOn w:val="Fuentedeprrafopredeter"/>
    <w:link w:val="Ttulo1"/>
    <w:rsid w:val="00764803"/>
    <w:rPr>
      <w:b/>
      <w:bCs/>
      <w:sz w:val="24"/>
      <w:szCs w:val="24"/>
      <w:lang w:val="es-MX"/>
    </w:rPr>
  </w:style>
  <w:style w:type="character" w:customStyle="1" w:styleId="Ttulo2Car">
    <w:name w:val="Título 2 Car"/>
    <w:basedOn w:val="Fuentedeprrafopredeter"/>
    <w:link w:val="Ttulo2"/>
    <w:rsid w:val="00764803"/>
    <w:rPr>
      <w:b/>
      <w:bCs/>
      <w:sz w:val="24"/>
      <w:szCs w:val="24"/>
      <w:lang w:val="es-MX"/>
    </w:rPr>
  </w:style>
  <w:style w:type="character" w:customStyle="1" w:styleId="Ttulo5Car">
    <w:name w:val="Título 5 Car"/>
    <w:basedOn w:val="Fuentedeprrafopredeter"/>
    <w:link w:val="Ttulo5"/>
    <w:rsid w:val="00764803"/>
    <w:rPr>
      <w:rFonts w:ascii="Arial" w:hAnsi="Arial"/>
      <w:b/>
      <w:sz w:val="18"/>
      <w:szCs w:val="24"/>
      <w:lang w:val="es-MX"/>
    </w:rPr>
  </w:style>
  <w:style w:type="character" w:customStyle="1" w:styleId="Textoindependiente2Car">
    <w:name w:val="Texto independiente 2 Car"/>
    <w:basedOn w:val="Fuentedeprrafopredeter"/>
    <w:link w:val="Textoindependiente2"/>
    <w:rsid w:val="00764803"/>
    <w:rPr>
      <w:rFonts w:ascii="Arial" w:hAnsi="Arial" w:cs="Arial"/>
      <w:sz w:val="22"/>
      <w:szCs w:val="22"/>
      <w:lang w:val="es-MX"/>
    </w:rPr>
  </w:style>
  <w:style w:type="character" w:customStyle="1" w:styleId="EncabezadoCar">
    <w:name w:val="Encabezado Car"/>
    <w:basedOn w:val="Fuentedeprrafopredeter"/>
    <w:link w:val="Encabezado"/>
    <w:rsid w:val="00764803"/>
    <w:rPr>
      <w:sz w:val="24"/>
      <w:szCs w:val="24"/>
      <w:lang w:val="es-MX"/>
    </w:rPr>
  </w:style>
  <w:style w:type="character" w:customStyle="1" w:styleId="PiedepginaCar">
    <w:name w:val="Pie de página Car"/>
    <w:basedOn w:val="Fuentedeprrafopredeter"/>
    <w:link w:val="Piedepgina"/>
    <w:rsid w:val="00764803"/>
    <w:rPr>
      <w:sz w:val="24"/>
      <w:szCs w:val="24"/>
      <w:lang w:val="es-MX"/>
    </w:rPr>
  </w:style>
  <w:style w:type="character" w:customStyle="1" w:styleId="TextodegloboCar">
    <w:name w:val="Texto de globo Car"/>
    <w:basedOn w:val="Fuentedeprrafopredeter"/>
    <w:link w:val="Textodeglobo"/>
    <w:semiHidden/>
    <w:rsid w:val="00764803"/>
    <w:rPr>
      <w:rFonts w:ascii="Tahoma" w:hAnsi="Tahoma" w:cs="Tahoma"/>
      <w:sz w:val="16"/>
      <w:szCs w:val="16"/>
      <w:lang w:val="es-MX"/>
    </w:rPr>
  </w:style>
  <w:style w:type="paragraph" w:customStyle="1" w:styleId="Texto">
    <w:name w:val="Texto"/>
    <w:basedOn w:val="Normal"/>
    <w:link w:val="TextoCar"/>
    <w:qFormat/>
    <w:rsid w:val="00764803"/>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764803"/>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3729">
      <w:bodyDiv w:val="1"/>
      <w:marLeft w:val="0"/>
      <w:marRight w:val="0"/>
      <w:marTop w:val="0"/>
      <w:marBottom w:val="0"/>
      <w:divBdr>
        <w:top w:val="none" w:sz="0" w:space="0" w:color="auto"/>
        <w:left w:val="none" w:sz="0" w:space="0" w:color="auto"/>
        <w:bottom w:val="none" w:sz="0" w:space="0" w:color="auto"/>
        <w:right w:val="none" w:sz="0" w:space="0" w:color="auto"/>
      </w:divBdr>
    </w:div>
    <w:div w:id="8066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Hoja_de_c_lculo_de_Microsoft_Excel_97-20035.xls"/><Relationship Id="rId26" Type="http://schemas.openxmlformats.org/officeDocument/2006/relationships/oleObject" Target="embeddings/Hoja_de_c_lculo_de_Microsoft_Excel_97-20039.xls"/><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Hoja_de_c_lculo_de_Microsoft_Excel1.xlsx"/><Relationship Id="rId42" Type="http://schemas.openxmlformats.org/officeDocument/2006/relationships/oleObject" Target="embeddings/Hoja_de_c_lculo_de_Microsoft_Excel_97-200316.xls"/><Relationship Id="rId47" Type="http://schemas.openxmlformats.org/officeDocument/2006/relationships/image" Target="media/image20.emf"/><Relationship Id="rId50" Type="http://schemas.openxmlformats.org/officeDocument/2006/relationships/oleObject" Target="embeddings/Hoja_de_c_lculo_de_Microsoft_Excel_97-200320.xls"/><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Hoja_de_c_lculo_de_Microsoft_Excel_97-200329.xls"/><Relationship Id="rId76" Type="http://schemas.openxmlformats.org/officeDocument/2006/relationships/oleObject" Target="embeddings/Hoja_de_c_lculo_de_Microsoft_Excel_97-200333.xls"/><Relationship Id="rId84" Type="http://schemas.openxmlformats.org/officeDocument/2006/relationships/package" Target="embeddings/Hoja_de_c_lculo_de_Microsoft_Excel2.xlsx"/><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32.emf"/><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Hoja_de_c_lculo_de_Microsoft_Excel_97-20034.xls"/><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Hoja_de_c_lculo_de_Microsoft_Excel_97-20038.xls"/><Relationship Id="rId32" Type="http://schemas.openxmlformats.org/officeDocument/2006/relationships/oleObject" Target="embeddings/Hoja_de_c_lculo_de_Microsoft_Excel_97-200312.xls"/><Relationship Id="rId37" Type="http://schemas.openxmlformats.org/officeDocument/2006/relationships/image" Target="media/image15.emf"/><Relationship Id="rId40" Type="http://schemas.openxmlformats.org/officeDocument/2006/relationships/oleObject" Target="embeddings/Hoja_de_c_lculo_de_Microsoft_Excel_97-200315.xls"/><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Hoja_de_c_lculo_de_Microsoft_Excel_97-200324.xls"/><Relationship Id="rId66" Type="http://schemas.openxmlformats.org/officeDocument/2006/relationships/oleObject" Target="embeddings/Hoja_de_c_lculo_de_Microsoft_Excel_97-200328.xls"/><Relationship Id="rId74" Type="http://schemas.openxmlformats.org/officeDocument/2006/relationships/oleObject" Target="embeddings/Hoja_de_c_lculo_de_Microsoft_Excel_97-200332.xls"/><Relationship Id="rId79" Type="http://schemas.openxmlformats.org/officeDocument/2006/relationships/image" Target="media/image36.emf"/><Relationship Id="rId87" Type="http://schemas.openxmlformats.org/officeDocument/2006/relationships/image" Target="media/image40.emf"/><Relationship Id="rId5" Type="http://schemas.openxmlformats.org/officeDocument/2006/relationships/settings" Target="settings.xml"/><Relationship Id="rId61" Type="http://schemas.openxmlformats.org/officeDocument/2006/relationships/image" Target="media/image27.emf"/><Relationship Id="rId82" Type="http://schemas.openxmlformats.org/officeDocument/2006/relationships/oleObject" Target="embeddings/Hoja_de_c_lculo_de_Microsoft_Excel_97-200336.xls"/><Relationship Id="rId90" Type="http://schemas.openxmlformats.org/officeDocument/2006/relationships/footer" Target="footer1.xml"/><Relationship Id="rId19" Type="http://schemas.openxmlformats.org/officeDocument/2006/relationships/image" Target="media/image6.emf"/><Relationship Id="rId14" Type="http://schemas.openxmlformats.org/officeDocument/2006/relationships/oleObject" Target="embeddings/Hoja_de_c_lculo_de_Microsoft_Excel_97-20033.xls"/><Relationship Id="rId22" Type="http://schemas.openxmlformats.org/officeDocument/2006/relationships/oleObject" Target="embeddings/Hoja_de_c_lculo_de_Microsoft_Excel_97-20037.xls"/><Relationship Id="rId27" Type="http://schemas.openxmlformats.org/officeDocument/2006/relationships/image" Target="media/image10.emf"/><Relationship Id="rId30" Type="http://schemas.openxmlformats.org/officeDocument/2006/relationships/oleObject" Target="embeddings/Hoja_de_c_lculo_de_Microsoft_Excel_97-200311.xls"/><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Hoja_de_c_lculo_de_Microsoft_Excel_97-200319.xls"/><Relationship Id="rId56" Type="http://schemas.openxmlformats.org/officeDocument/2006/relationships/oleObject" Target="embeddings/Hoja_de_c_lculo_de_Microsoft_Excel_97-200323.xls"/><Relationship Id="rId64" Type="http://schemas.openxmlformats.org/officeDocument/2006/relationships/oleObject" Target="embeddings/Hoja_de_c_lculo_de_Microsoft_Excel_97-200327.xls"/><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oleObject" Target="embeddings/Hoja_de_c_lculo_de_Microsoft_Excel_97-200331.xls"/><Relationship Id="rId80" Type="http://schemas.openxmlformats.org/officeDocument/2006/relationships/oleObject" Target="embeddings/Hoja_de_c_lculo_de_Microsoft_Excel_97-200335.xls"/><Relationship Id="rId85" Type="http://schemas.openxmlformats.org/officeDocument/2006/relationships/image" Target="media/image39.e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Hoja_de_c_lculo_de_Microsoft_Excel_97-20032.xls"/><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Hoja_de_c_lculo_de_Microsoft_Excel_97-200314.xls"/><Relationship Id="rId46" Type="http://schemas.openxmlformats.org/officeDocument/2006/relationships/oleObject" Target="embeddings/Hoja_de_c_lculo_de_Microsoft_Excel_97-200318.xls"/><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Hoja_de_c_lculo_de_Microsoft_Excel_97-20036.xls"/><Relationship Id="rId41" Type="http://schemas.openxmlformats.org/officeDocument/2006/relationships/image" Target="media/image17.emf"/><Relationship Id="rId54" Type="http://schemas.openxmlformats.org/officeDocument/2006/relationships/oleObject" Target="embeddings/Hoja_de_c_lculo_de_Microsoft_Excel_97-200322.xls"/><Relationship Id="rId62" Type="http://schemas.openxmlformats.org/officeDocument/2006/relationships/oleObject" Target="embeddings/Hoja_de_c_lculo_de_Microsoft_Excel_97-200326.xls"/><Relationship Id="rId70" Type="http://schemas.openxmlformats.org/officeDocument/2006/relationships/oleObject" Target="embeddings/Hoja_de_c_lculo_de_Microsoft_Excel_97-200330.xls"/><Relationship Id="rId75" Type="http://schemas.openxmlformats.org/officeDocument/2006/relationships/image" Target="media/image34.emf"/><Relationship Id="rId83" Type="http://schemas.openxmlformats.org/officeDocument/2006/relationships/image" Target="media/image38.emf"/><Relationship Id="rId88" Type="http://schemas.openxmlformats.org/officeDocument/2006/relationships/oleObject" Target="embeddings/Hoja_de_c_lculo_de_Microsoft_Excel_97-200337.xls"/><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Hoja_de_c_lculo_de_Microsoft_Excel_97-200310.xls"/><Relationship Id="rId36" Type="http://schemas.openxmlformats.org/officeDocument/2006/relationships/oleObject" Target="embeddings/Hoja_de_c_lculo_de_Microsoft_Excel_97-200313.xls"/><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oleObject" Target="embeddings/Hoja_de_c_lculo_de_Microsoft_Excel_97-20031.xls"/><Relationship Id="rId31" Type="http://schemas.openxmlformats.org/officeDocument/2006/relationships/image" Target="media/image12.emf"/><Relationship Id="rId44" Type="http://schemas.openxmlformats.org/officeDocument/2006/relationships/oleObject" Target="embeddings/Hoja_de_c_lculo_de_Microsoft_Excel_97-200317.xls"/><Relationship Id="rId52" Type="http://schemas.openxmlformats.org/officeDocument/2006/relationships/oleObject" Target="embeddings/Hoja_de_c_lculo_de_Microsoft_Excel_97-200321.xls"/><Relationship Id="rId60" Type="http://schemas.openxmlformats.org/officeDocument/2006/relationships/oleObject" Target="embeddings/Hoja_de_c_lculo_de_Microsoft_Excel_97-200325.xls"/><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embeddings/Hoja_de_c_lculo_de_Microsoft_Excel_97-200334.xls"/><Relationship Id="rId81" Type="http://schemas.openxmlformats.org/officeDocument/2006/relationships/image" Target="media/image37.emf"/><Relationship Id="rId86" Type="http://schemas.openxmlformats.org/officeDocument/2006/relationships/package" Target="embeddings/Hoja_de_c_lculo_de_Microsoft_Excel3.xlsx"/><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72BBB-8232-4C3A-BC3E-AEA3D66C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7092</Words>
  <Characters>39009</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46009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Ramón A. Pérez Rivera</cp:lastModifiedBy>
  <cp:revision>3</cp:revision>
  <cp:lastPrinted>2017-04-28T17:06:00Z</cp:lastPrinted>
  <dcterms:created xsi:type="dcterms:W3CDTF">2017-05-02T08:08:00Z</dcterms:created>
  <dcterms:modified xsi:type="dcterms:W3CDTF">2017-05-02T08:08:00Z</dcterms:modified>
</cp:coreProperties>
</file>