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3D7" w:rsidRPr="00707839" w:rsidRDefault="00C243D7" w:rsidP="00D17245">
      <w:pPr>
        <w:ind w:left="2124" w:hanging="2124"/>
        <w:jc w:val="both"/>
        <w:rPr>
          <w:rFonts w:ascii="Calibri" w:hAnsi="Calibri"/>
          <w:sz w:val="20"/>
          <w:szCs w:val="20"/>
        </w:rPr>
      </w:pPr>
      <w:r w:rsidRPr="00707839">
        <w:rPr>
          <w:rFonts w:ascii="Calibri" w:hAnsi="Calibri" w:cs="Arial"/>
          <w:b/>
          <w:sz w:val="20"/>
          <w:szCs w:val="20"/>
        </w:rPr>
        <w:t>Ente Público: FIDEICOMISO GARANTE DE LA ORQUESTA SINFÓNICA DE YUCATÁN</w:t>
      </w:r>
    </w:p>
    <w:p w:rsidR="00C243D7" w:rsidRPr="00707839" w:rsidRDefault="00C243D7" w:rsidP="00D17245">
      <w:pPr>
        <w:ind w:left="2124" w:hanging="2124"/>
        <w:jc w:val="both"/>
        <w:rPr>
          <w:rFonts w:ascii="Calibri" w:hAnsi="Calibri"/>
          <w:sz w:val="20"/>
          <w:szCs w:val="20"/>
        </w:rPr>
      </w:pPr>
    </w:p>
    <w:p w:rsidR="00A47351" w:rsidRPr="00707839" w:rsidRDefault="00A47351" w:rsidP="00D17245">
      <w:pPr>
        <w:ind w:left="2124" w:hanging="2124"/>
        <w:jc w:val="both"/>
        <w:rPr>
          <w:rFonts w:ascii="Calibri" w:hAnsi="Calibri"/>
          <w:sz w:val="20"/>
          <w:szCs w:val="20"/>
        </w:rPr>
      </w:pPr>
      <w:r w:rsidRPr="00707839">
        <w:rPr>
          <w:rFonts w:ascii="Calibri" w:hAnsi="Calibri"/>
          <w:sz w:val="20"/>
          <w:szCs w:val="20"/>
        </w:rPr>
        <w:t>Con el propósito de dar cumplimiento a los artículos 44, 45, 46, 47, 49, 52 y 53 de la Ley General de Contabilidad Gubernamental, los entes públicos deberán acompañar notas a los estados financieros cuyos rubros así lo requieran teniendo presente los postulados de revelación suficiente e importancia relativa, con la finalidad que la información sea de mayor utilidad para los usuarios.</w:t>
      </w:r>
    </w:p>
    <w:p w:rsidR="00A47351" w:rsidRPr="00707839" w:rsidRDefault="00D04CEF" w:rsidP="00D04CEF">
      <w:pPr>
        <w:tabs>
          <w:tab w:val="left" w:pos="5520"/>
        </w:tabs>
        <w:ind w:left="5520" w:hanging="5520"/>
        <w:rPr>
          <w:rFonts w:ascii="Calibri" w:hAnsi="Calibri"/>
          <w:b/>
          <w:sz w:val="20"/>
          <w:szCs w:val="20"/>
        </w:rPr>
      </w:pPr>
      <w:r w:rsidRPr="00707839">
        <w:rPr>
          <w:rFonts w:ascii="Calibri" w:hAnsi="Calibri"/>
          <w:b/>
          <w:sz w:val="20"/>
          <w:szCs w:val="20"/>
        </w:rPr>
        <w:tab/>
      </w:r>
    </w:p>
    <w:p w:rsidR="00A47351" w:rsidRPr="00707839" w:rsidRDefault="00A47351" w:rsidP="00A47351">
      <w:pPr>
        <w:rPr>
          <w:rFonts w:ascii="Calibri" w:hAnsi="Calibri"/>
          <w:sz w:val="20"/>
          <w:szCs w:val="20"/>
        </w:rPr>
      </w:pPr>
      <w:r w:rsidRPr="00707839">
        <w:rPr>
          <w:rFonts w:ascii="Calibri" w:hAnsi="Calibri"/>
          <w:sz w:val="20"/>
          <w:szCs w:val="20"/>
        </w:rPr>
        <w:t>A continuación se presenta los tres tipos de notas que acompañan a los estados, a saber:</w:t>
      </w:r>
    </w:p>
    <w:p w:rsidR="00A47351" w:rsidRPr="00707839" w:rsidRDefault="00A47351" w:rsidP="00A47351">
      <w:pPr>
        <w:tabs>
          <w:tab w:val="left" w:pos="567"/>
        </w:tabs>
        <w:rPr>
          <w:rFonts w:ascii="Calibri" w:hAnsi="Calibri"/>
          <w:sz w:val="20"/>
          <w:szCs w:val="20"/>
        </w:rPr>
      </w:pPr>
    </w:p>
    <w:p w:rsidR="00A47351" w:rsidRPr="00707839" w:rsidRDefault="00A47351" w:rsidP="00A47351">
      <w:pPr>
        <w:pStyle w:val="Prrafodelista"/>
        <w:numPr>
          <w:ilvl w:val="0"/>
          <w:numId w:val="14"/>
        </w:numPr>
        <w:tabs>
          <w:tab w:val="left" w:pos="284"/>
        </w:tabs>
        <w:ind w:left="0" w:firstLine="0"/>
        <w:rPr>
          <w:rFonts w:ascii="Calibri" w:hAnsi="Calibri"/>
          <w:sz w:val="20"/>
          <w:szCs w:val="20"/>
        </w:rPr>
      </w:pPr>
      <w:r w:rsidRPr="00707839">
        <w:rPr>
          <w:rFonts w:ascii="Calibri" w:hAnsi="Calibri"/>
          <w:sz w:val="20"/>
          <w:szCs w:val="20"/>
        </w:rPr>
        <w:t xml:space="preserve">Notas de desglose, </w:t>
      </w:r>
    </w:p>
    <w:p w:rsidR="00A47351" w:rsidRPr="00707839" w:rsidRDefault="00A47351" w:rsidP="00A47351">
      <w:pPr>
        <w:pStyle w:val="Prrafodelista"/>
        <w:numPr>
          <w:ilvl w:val="0"/>
          <w:numId w:val="14"/>
        </w:numPr>
        <w:tabs>
          <w:tab w:val="left" w:pos="284"/>
        </w:tabs>
        <w:ind w:left="0" w:firstLine="0"/>
        <w:rPr>
          <w:rFonts w:ascii="Calibri" w:hAnsi="Calibri"/>
          <w:sz w:val="20"/>
          <w:szCs w:val="20"/>
        </w:rPr>
      </w:pPr>
      <w:r w:rsidRPr="00707839">
        <w:rPr>
          <w:rFonts w:ascii="Calibri" w:hAnsi="Calibri"/>
          <w:sz w:val="20"/>
          <w:szCs w:val="20"/>
        </w:rPr>
        <w:t>Notas de memoria, y</w:t>
      </w:r>
    </w:p>
    <w:p w:rsidR="00A47351" w:rsidRPr="00707839" w:rsidRDefault="00A47351" w:rsidP="00A47351">
      <w:pPr>
        <w:pStyle w:val="Prrafodelista"/>
        <w:numPr>
          <w:ilvl w:val="0"/>
          <w:numId w:val="14"/>
        </w:numPr>
        <w:tabs>
          <w:tab w:val="left" w:pos="284"/>
        </w:tabs>
        <w:ind w:left="0" w:firstLine="0"/>
        <w:rPr>
          <w:rFonts w:ascii="Calibri" w:hAnsi="Calibri"/>
          <w:sz w:val="20"/>
          <w:szCs w:val="20"/>
        </w:rPr>
      </w:pPr>
      <w:r w:rsidRPr="00707839">
        <w:rPr>
          <w:rFonts w:ascii="Calibri" w:hAnsi="Calibri"/>
          <w:sz w:val="20"/>
          <w:szCs w:val="20"/>
        </w:rPr>
        <w:t>Notas de gestión administrativa.</w:t>
      </w:r>
    </w:p>
    <w:p w:rsidR="00A47351" w:rsidRPr="00707839" w:rsidRDefault="00A47351" w:rsidP="00A47351">
      <w:pPr>
        <w:pStyle w:val="Textoindependiente2"/>
        <w:tabs>
          <w:tab w:val="left" w:pos="7965"/>
        </w:tabs>
        <w:rPr>
          <w:rFonts w:ascii="Calibri" w:hAnsi="Calibri"/>
          <w:sz w:val="20"/>
          <w:szCs w:val="20"/>
        </w:rPr>
      </w:pPr>
      <w:r w:rsidRPr="00707839">
        <w:rPr>
          <w:rFonts w:ascii="Calibri" w:hAnsi="Calibri"/>
          <w:sz w:val="20"/>
          <w:szCs w:val="20"/>
        </w:rPr>
        <w:tab/>
      </w:r>
    </w:p>
    <w:p w:rsidR="00A47351" w:rsidRPr="00707839" w:rsidRDefault="00A47351" w:rsidP="00A47351">
      <w:pPr>
        <w:pStyle w:val="Prrafodelista"/>
        <w:numPr>
          <w:ilvl w:val="0"/>
          <w:numId w:val="15"/>
        </w:numPr>
        <w:ind w:left="284" w:hanging="284"/>
        <w:rPr>
          <w:rFonts w:ascii="Calibri" w:hAnsi="Calibri"/>
          <w:b/>
          <w:sz w:val="20"/>
          <w:szCs w:val="20"/>
        </w:rPr>
      </w:pPr>
      <w:r w:rsidRPr="00707839">
        <w:rPr>
          <w:rFonts w:ascii="Calibri" w:hAnsi="Calibri"/>
          <w:b/>
          <w:sz w:val="20"/>
          <w:szCs w:val="20"/>
        </w:rPr>
        <w:t>NOTAS DE DESGLOSE.</w:t>
      </w:r>
    </w:p>
    <w:p w:rsidR="00A47351" w:rsidRPr="00707839" w:rsidRDefault="00A47351" w:rsidP="00A47351">
      <w:pPr>
        <w:pStyle w:val="Textoindependiente2"/>
        <w:tabs>
          <w:tab w:val="left" w:pos="7965"/>
        </w:tabs>
        <w:rPr>
          <w:rFonts w:ascii="Calibri" w:hAnsi="Calibri"/>
          <w:sz w:val="20"/>
          <w:szCs w:val="20"/>
        </w:rPr>
      </w:pPr>
    </w:p>
    <w:p w:rsidR="00A47351" w:rsidRPr="00707839" w:rsidRDefault="00A47351" w:rsidP="00A47351">
      <w:pPr>
        <w:pStyle w:val="Prrafodelista"/>
        <w:numPr>
          <w:ilvl w:val="0"/>
          <w:numId w:val="19"/>
        </w:numPr>
        <w:tabs>
          <w:tab w:val="left" w:pos="426"/>
        </w:tabs>
        <w:ind w:left="0" w:firstLine="0"/>
        <w:rPr>
          <w:rFonts w:ascii="Calibri" w:hAnsi="Calibri"/>
          <w:b/>
          <w:sz w:val="20"/>
          <w:szCs w:val="20"/>
        </w:rPr>
      </w:pPr>
      <w:r w:rsidRPr="00707839">
        <w:rPr>
          <w:rFonts w:ascii="Calibri" w:hAnsi="Calibri"/>
          <w:b/>
          <w:sz w:val="20"/>
          <w:szCs w:val="20"/>
        </w:rPr>
        <w:t>NOTAS AL ESTADO DE SITUACIÓN FINANCIERA.</w:t>
      </w:r>
    </w:p>
    <w:p w:rsidR="00A47351" w:rsidRPr="00707839" w:rsidRDefault="00A47351" w:rsidP="00A47351">
      <w:pPr>
        <w:tabs>
          <w:tab w:val="left" w:pos="426"/>
        </w:tabs>
        <w:rPr>
          <w:rFonts w:ascii="Calibri" w:hAnsi="Calibri"/>
          <w:b/>
          <w:sz w:val="20"/>
          <w:szCs w:val="20"/>
        </w:rPr>
      </w:pPr>
    </w:p>
    <w:p w:rsidR="00A47351" w:rsidRPr="00707839" w:rsidRDefault="00126A01" w:rsidP="00A47351">
      <w:pPr>
        <w:tabs>
          <w:tab w:val="left" w:pos="426"/>
          <w:tab w:val="left" w:pos="567"/>
        </w:tabs>
        <w:rPr>
          <w:rFonts w:ascii="Calibri" w:hAnsi="Calibri"/>
          <w:b/>
          <w:sz w:val="20"/>
          <w:szCs w:val="20"/>
        </w:rPr>
      </w:pPr>
      <w:r w:rsidRPr="00707839">
        <w:rPr>
          <w:rFonts w:ascii="Calibri" w:hAnsi="Calibri"/>
          <w:b/>
          <w:sz w:val="20"/>
          <w:szCs w:val="20"/>
        </w:rPr>
        <w:t>1.1 Activo</w:t>
      </w:r>
    </w:p>
    <w:p w:rsidR="00A47351" w:rsidRPr="00707839" w:rsidRDefault="00A47351" w:rsidP="00A47351">
      <w:pPr>
        <w:tabs>
          <w:tab w:val="left" w:pos="426"/>
        </w:tabs>
        <w:rPr>
          <w:rFonts w:ascii="Calibri" w:hAnsi="Calibri"/>
          <w:b/>
          <w:sz w:val="20"/>
          <w:szCs w:val="20"/>
        </w:rPr>
      </w:pPr>
    </w:p>
    <w:p w:rsidR="00A47351" w:rsidRPr="00707839" w:rsidRDefault="00A47351" w:rsidP="00A47351">
      <w:pPr>
        <w:pStyle w:val="Prrafodelista"/>
        <w:tabs>
          <w:tab w:val="left" w:pos="426"/>
        </w:tabs>
        <w:ind w:left="0"/>
        <w:rPr>
          <w:rFonts w:ascii="Calibri" w:hAnsi="Calibri"/>
          <w:b/>
          <w:sz w:val="20"/>
          <w:szCs w:val="20"/>
        </w:rPr>
      </w:pPr>
      <w:r w:rsidRPr="00707839">
        <w:rPr>
          <w:rFonts w:ascii="Calibri" w:hAnsi="Calibri"/>
          <w:b/>
          <w:sz w:val="20"/>
          <w:szCs w:val="20"/>
        </w:rPr>
        <w:t xml:space="preserve">1.1.1 </w:t>
      </w:r>
      <w:r w:rsidR="00275DC0" w:rsidRPr="00707839">
        <w:rPr>
          <w:rFonts w:ascii="Calibri" w:hAnsi="Calibri"/>
          <w:b/>
          <w:sz w:val="20"/>
          <w:szCs w:val="20"/>
        </w:rPr>
        <w:t>Efectivo y</w:t>
      </w:r>
      <w:r w:rsidRPr="00707839">
        <w:rPr>
          <w:rFonts w:ascii="Calibri" w:hAnsi="Calibri"/>
          <w:b/>
          <w:sz w:val="20"/>
          <w:szCs w:val="20"/>
        </w:rPr>
        <w:t xml:space="preserve"> equivalentes.</w:t>
      </w:r>
    </w:p>
    <w:p w:rsidR="00A47351" w:rsidRPr="00707839" w:rsidRDefault="00A47351" w:rsidP="00A47351">
      <w:pPr>
        <w:pStyle w:val="Prrafodelista"/>
        <w:tabs>
          <w:tab w:val="left" w:pos="426"/>
        </w:tabs>
        <w:ind w:left="0"/>
        <w:rPr>
          <w:rFonts w:ascii="Calibri" w:hAnsi="Calibri"/>
          <w:b/>
          <w:sz w:val="20"/>
          <w:szCs w:val="20"/>
        </w:rPr>
      </w:pPr>
    </w:p>
    <w:p w:rsidR="00A47351" w:rsidRPr="00707839" w:rsidRDefault="00A47351" w:rsidP="00A47351">
      <w:pPr>
        <w:pStyle w:val="Prrafodelista"/>
        <w:tabs>
          <w:tab w:val="left" w:pos="426"/>
        </w:tabs>
        <w:ind w:left="0"/>
        <w:jc w:val="both"/>
        <w:rPr>
          <w:rFonts w:ascii="Calibri" w:hAnsi="Calibri"/>
          <w:sz w:val="20"/>
          <w:szCs w:val="20"/>
        </w:rPr>
      </w:pPr>
      <w:r w:rsidRPr="00707839">
        <w:rPr>
          <w:rFonts w:ascii="Calibri" w:hAnsi="Calibri"/>
          <w:sz w:val="20"/>
          <w:szCs w:val="20"/>
        </w:rPr>
        <w:t xml:space="preserve">El rubro de Efectivo y equivalente de efectivo </w:t>
      </w:r>
      <w:r w:rsidR="00BD2A58" w:rsidRPr="00707839">
        <w:rPr>
          <w:rFonts w:ascii="Calibri" w:hAnsi="Calibri"/>
          <w:sz w:val="20"/>
          <w:szCs w:val="20"/>
        </w:rPr>
        <w:t xml:space="preserve">al </w:t>
      </w:r>
      <w:r w:rsidR="001A2FAC" w:rsidRPr="00707839">
        <w:rPr>
          <w:rFonts w:ascii="Calibri" w:hAnsi="Calibri"/>
          <w:sz w:val="20"/>
          <w:szCs w:val="20"/>
        </w:rPr>
        <w:t>31 de Mayo de 2022</w:t>
      </w:r>
      <w:r w:rsidRPr="00707839">
        <w:rPr>
          <w:rFonts w:ascii="Calibri" w:hAnsi="Calibri"/>
          <w:sz w:val="20"/>
          <w:szCs w:val="20"/>
        </w:rPr>
        <w:t>, se encuentra integrado de la siguiente manera:</w:t>
      </w:r>
    </w:p>
    <w:p w:rsidR="007F6C9A" w:rsidRPr="00707839" w:rsidRDefault="007F6C9A" w:rsidP="00A47351">
      <w:pPr>
        <w:pStyle w:val="Prrafodelista"/>
        <w:tabs>
          <w:tab w:val="left" w:pos="426"/>
        </w:tabs>
        <w:ind w:left="0"/>
        <w:jc w:val="both"/>
        <w:rPr>
          <w:rFonts w:ascii="Calibri" w:hAnsi="Calibri"/>
          <w:sz w:val="20"/>
          <w:szCs w:val="20"/>
        </w:rPr>
      </w:pPr>
    </w:p>
    <w:p w:rsidR="005423DA" w:rsidRPr="00707839" w:rsidRDefault="005423DA" w:rsidP="00A47351">
      <w:pPr>
        <w:pStyle w:val="Prrafodelista"/>
        <w:tabs>
          <w:tab w:val="left" w:pos="426"/>
        </w:tabs>
        <w:ind w:left="0"/>
        <w:jc w:val="both"/>
        <w:rPr>
          <w:rFonts w:ascii="Calibri" w:hAnsi="Calibri"/>
          <w:sz w:val="20"/>
          <w:szCs w:val="20"/>
        </w:rPr>
      </w:pPr>
    </w:p>
    <w:p w:rsidR="00CE2F1B" w:rsidRPr="00707839" w:rsidRDefault="00CE2F1B" w:rsidP="00A47351">
      <w:pPr>
        <w:pStyle w:val="Prrafodelista"/>
        <w:tabs>
          <w:tab w:val="left" w:pos="426"/>
        </w:tabs>
        <w:ind w:left="0"/>
        <w:jc w:val="both"/>
        <w:rPr>
          <w:rFonts w:ascii="Calibri" w:hAnsi="Calibri"/>
          <w:sz w:val="20"/>
          <w:szCs w:val="20"/>
        </w:rPr>
      </w:pPr>
    </w:p>
    <w:p w:rsidR="00CE2F1B" w:rsidRPr="00707839" w:rsidRDefault="005423DA" w:rsidP="00CE2F1B">
      <w:pPr>
        <w:pStyle w:val="Prrafodelista"/>
        <w:tabs>
          <w:tab w:val="left" w:pos="426"/>
        </w:tabs>
        <w:ind w:left="0"/>
        <w:jc w:val="center"/>
        <w:rPr>
          <w:rFonts w:ascii="Calibri" w:hAnsi="Calibri"/>
          <w:sz w:val="20"/>
          <w:szCs w:val="20"/>
        </w:rPr>
      </w:pPr>
      <w:r w:rsidRPr="00707839">
        <w:rPr>
          <w:noProof/>
          <w:lang w:eastAsia="es-MX"/>
        </w:rPr>
        <w:drawing>
          <wp:inline distT="0" distB="0" distL="0" distR="0" wp14:anchorId="76D544F3" wp14:editId="6EC31F4D">
            <wp:extent cx="4514850" cy="13144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4850" cy="1314450"/>
                    </a:xfrm>
                    <a:prstGeom prst="rect">
                      <a:avLst/>
                    </a:prstGeom>
                    <a:noFill/>
                    <a:ln>
                      <a:noFill/>
                    </a:ln>
                  </pic:spPr>
                </pic:pic>
              </a:graphicData>
            </a:graphic>
          </wp:inline>
        </w:drawing>
      </w:r>
    </w:p>
    <w:p w:rsidR="00CE2F1B" w:rsidRPr="00707839" w:rsidRDefault="00CE2F1B" w:rsidP="001B7FE1">
      <w:pPr>
        <w:pStyle w:val="Prrafodelista"/>
        <w:tabs>
          <w:tab w:val="left" w:pos="426"/>
        </w:tabs>
        <w:ind w:left="0"/>
        <w:jc w:val="center"/>
        <w:rPr>
          <w:rFonts w:ascii="Calibri" w:hAnsi="Calibri"/>
          <w:sz w:val="20"/>
          <w:szCs w:val="20"/>
        </w:rPr>
      </w:pPr>
    </w:p>
    <w:p w:rsidR="008749CD" w:rsidRDefault="008749CD" w:rsidP="008749CD">
      <w:pPr>
        <w:pStyle w:val="Prrafodelista"/>
        <w:tabs>
          <w:tab w:val="left" w:pos="426"/>
        </w:tabs>
        <w:ind w:left="0"/>
        <w:jc w:val="center"/>
        <w:rPr>
          <w:rFonts w:ascii="Calibri" w:hAnsi="Calibri"/>
          <w:sz w:val="20"/>
          <w:szCs w:val="20"/>
        </w:rPr>
      </w:pPr>
    </w:p>
    <w:p w:rsidR="006E7C7C" w:rsidRDefault="006E7C7C" w:rsidP="008749CD">
      <w:pPr>
        <w:pStyle w:val="Prrafodelista"/>
        <w:tabs>
          <w:tab w:val="left" w:pos="426"/>
        </w:tabs>
        <w:ind w:left="0"/>
        <w:jc w:val="center"/>
        <w:rPr>
          <w:rFonts w:ascii="Calibri" w:hAnsi="Calibri"/>
          <w:sz w:val="20"/>
          <w:szCs w:val="20"/>
        </w:rPr>
      </w:pPr>
    </w:p>
    <w:p w:rsidR="006E7C7C" w:rsidRPr="00707839" w:rsidRDefault="006E7C7C" w:rsidP="008749CD">
      <w:pPr>
        <w:pStyle w:val="Prrafodelista"/>
        <w:tabs>
          <w:tab w:val="left" w:pos="426"/>
        </w:tabs>
        <w:ind w:left="0"/>
        <w:jc w:val="center"/>
        <w:rPr>
          <w:rFonts w:ascii="Calibri" w:hAnsi="Calibri"/>
          <w:sz w:val="20"/>
          <w:szCs w:val="20"/>
        </w:rPr>
      </w:pPr>
    </w:p>
    <w:p w:rsidR="00C243D7" w:rsidRPr="00707839" w:rsidRDefault="00C243D7" w:rsidP="008749CD">
      <w:pPr>
        <w:pStyle w:val="Prrafodelista"/>
        <w:tabs>
          <w:tab w:val="left" w:pos="426"/>
        </w:tabs>
        <w:ind w:left="0"/>
        <w:jc w:val="center"/>
        <w:rPr>
          <w:rFonts w:ascii="Calibri" w:hAnsi="Calibri"/>
          <w:sz w:val="20"/>
          <w:szCs w:val="20"/>
        </w:rPr>
      </w:pPr>
    </w:p>
    <w:p w:rsidR="00A47351" w:rsidRPr="00707839" w:rsidRDefault="00A47351" w:rsidP="00A47351">
      <w:pPr>
        <w:pStyle w:val="Prrafodelista"/>
        <w:tabs>
          <w:tab w:val="left" w:pos="284"/>
        </w:tabs>
        <w:ind w:left="0"/>
        <w:rPr>
          <w:rFonts w:ascii="Calibri" w:hAnsi="Calibri"/>
          <w:sz w:val="20"/>
          <w:szCs w:val="20"/>
        </w:rPr>
      </w:pPr>
      <w:r w:rsidRPr="00707839">
        <w:rPr>
          <w:rFonts w:ascii="Calibri" w:hAnsi="Calibri"/>
          <w:b/>
          <w:sz w:val="20"/>
          <w:szCs w:val="20"/>
        </w:rPr>
        <w:t>1.1.1.2</w:t>
      </w:r>
      <w:r w:rsidRPr="00707839">
        <w:rPr>
          <w:rFonts w:ascii="Calibri" w:hAnsi="Calibri"/>
          <w:sz w:val="20"/>
          <w:szCs w:val="20"/>
        </w:rPr>
        <w:t xml:space="preserve"> La cuenta de bancos se encuentra integrada de la siguiente manera:</w:t>
      </w:r>
    </w:p>
    <w:p w:rsidR="00CE2F1B" w:rsidRPr="00707839" w:rsidRDefault="00CE2F1B" w:rsidP="00A47351">
      <w:pPr>
        <w:pStyle w:val="Prrafodelista"/>
        <w:tabs>
          <w:tab w:val="left" w:pos="284"/>
        </w:tabs>
        <w:ind w:left="0"/>
        <w:rPr>
          <w:rFonts w:ascii="Calibri" w:hAnsi="Calibri"/>
          <w:sz w:val="20"/>
          <w:szCs w:val="20"/>
        </w:rPr>
      </w:pPr>
    </w:p>
    <w:p w:rsidR="00A47351" w:rsidRPr="00707839" w:rsidRDefault="00A47351" w:rsidP="001B7FE1">
      <w:pPr>
        <w:pStyle w:val="Prrafodelista"/>
        <w:jc w:val="center"/>
        <w:rPr>
          <w:rFonts w:ascii="Calibri" w:hAnsi="Calibri"/>
          <w:sz w:val="20"/>
          <w:szCs w:val="20"/>
        </w:rPr>
      </w:pPr>
    </w:p>
    <w:p w:rsidR="005B5C4B" w:rsidRPr="00707839" w:rsidRDefault="005B5C4B" w:rsidP="00072CD0">
      <w:pPr>
        <w:pStyle w:val="Prrafodelista"/>
        <w:jc w:val="center"/>
        <w:rPr>
          <w:rFonts w:ascii="Calibri" w:hAnsi="Calibri"/>
          <w:sz w:val="20"/>
          <w:szCs w:val="20"/>
        </w:rPr>
      </w:pPr>
    </w:p>
    <w:p w:rsidR="00072CD0" w:rsidRPr="00707839" w:rsidRDefault="005423DA" w:rsidP="00072CD0">
      <w:pPr>
        <w:pStyle w:val="Prrafodelista"/>
        <w:jc w:val="center"/>
        <w:rPr>
          <w:rFonts w:ascii="Calibri" w:hAnsi="Calibri"/>
          <w:sz w:val="20"/>
          <w:szCs w:val="20"/>
        </w:rPr>
      </w:pPr>
      <w:r w:rsidRPr="00707839">
        <w:rPr>
          <w:noProof/>
          <w:lang w:eastAsia="es-MX"/>
        </w:rPr>
        <w:drawing>
          <wp:inline distT="0" distB="0" distL="0" distR="0">
            <wp:extent cx="4410075" cy="15430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0075" cy="1543050"/>
                    </a:xfrm>
                    <a:prstGeom prst="rect">
                      <a:avLst/>
                    </a:prstGeom>
                    <a:noFill/>
                    <a:ln>
                      <a:noFill/>
                    </a:ln>
                  </pic:spPr>
                </pic:pic>
              </a:graphicData>
            </a:graphic>
          </wp:inline>
        </w:drawing>
      </w:r>
    </w:p>
    <w:p w:rsidR="00A47351" w:rsidRPr="00707839" w:rsidRDefault="00A47351" w:rsidP="00A47351">
      <w:pPr>
        <w:pStyle w:val="Prrafodelista"/>
        <w:numPr>
          <w:ilvl w:val="0"/>
          <w:numId w:val="8"/>
        </w:numPr>
        <w:tabs>
          <w:tab w:val="left" w:pos="284"/>
        </w:tabs>
        <w:ind w:left="0" w:firstLine="0"/>
        <w:jc w:val="both"/>
        <w:rPr>
          <w:rFonts w:ascii="Calibri" w:hAnsi="Calibri" w:cs="Arial"/>
          <w:bCs/>
          <w:sz w:val="20"/>
          <w:szCs w:val="20"/>
        </w:rPr>
      </w:pPr>
      <w:r w:rsidRPr="00707839">
        <w:rPr>
          <w:rFonts w:ascii="Calibri" w:hAnsi="Calibri"/>
          <w:sz w:val="20"/>
          <w:szCs w:val="20"/>
        </w:rPr>
        <w:t>La cuenta denominada Nacional Financiera Fideicomiso Contrato 1063970, corresponde a la cuenta concentradora que acumula los recursos transferidos por el Gobierno del Estado, las aportaciones que realiza el Patronato para la Orquesta Sinfónica de Yucatán, los ingresos obtenidos por la venta de localidades de los conciertos de la Orquesta Sinfónica de Yucatán, y cualquier otro donativo lícito, en efectivo, que entregue a título gratuito, cualquier persona física o moral, nacional o extranjera. Esta cuenta es</w:t>
      </w:r>
      <w:r w:rsidRPr="00707839">
        <w:rPr>
          <w:rFonts w:ascii="Calibri" w:hAnsi="Calibri" w:cs="Arial"/>
          <w:bCs/>
          <w:sz w:val="20"/>
          <w:szCs w:val="20"/>
        </w:rPr>
        <w:t xml:space="preserve"> </w:t>
      </w:r>
      <w:r w:rsidRPr="00707839">
        <w:rPr>
          <w:rFonts w:ascii="Calibri" w:hAnsi="Calibri"/>
          <w:sz w:val="20"/>
          <w:szCs w:val="20"/>
        </w:rPr>
        <w:t>administrada por Nacional Financiera S.N.C., conforme al contrato modificatorio suscrito el 25 de Mayo de 2009. De esta cuenta, se efectúan transferencias a las cuentas bancarias: Banorte No. 610257195 (Gasto Corriente), Banorte No. 610257186 (Nómina) y Banorte No. 592674928 (Débito empresarial)</w:t>
      </w:r>
      <w:r w:rsidR="005B5C4B" w:rsidRPr="00707839">
        <w:rPr>
          <w:rFonts w:ascii="Calibri" w:hAnsi="Calibri"/>
          <w:sz w:val="20"/>
          <w:szCs w:val="20"/>
        </w:rPr>
        <w:t>.</w:t>
      </w:r>
    </w:p>
    <w:p w:rsidR="00A47351" w:rsidRPr="00707839" w:rsidRDefault="00A47351" w:rsidP="00A47351">
      <w:pPr>
        <w:pStyle w:val="Prrafodelista"/>
        <w:tabs>
          <w:tab w:val="left" w:pos="284"/>
        </w:tabs>
        <w:ind w:left="0"/>
        <w:jc w:val="both"/>
        <w:rPr>
          <w:rFonts w:ascii="Calibri" w:hAnsi="Calibri" w:cs="Arial"/>
          <w:bCs/>
          <w:sz w:val="20"/>
          <w:szCs w:val="20"/>
        </w:rPr>
      </w:pPr>
    </w:p>
    <w:p w:rsidR="00A47351" w:rsidRPr="00707839" w:rsidRDefault="00A47351" w:rsidP="00A47351">
      <w:pPr>
        <w:pStyle w:val="Prrafodelista"/>
        <w:numPr>
          <w:ilvl w:val="0"/>
          <w:numId w:val="8"/>
        </w:numPr>
        <w:tabs>
          <w:tab w:val="left" w:pos="284"/>
        </w:tabs>
        <w:ind w:left="0" w:firstLine="0"/>
        <w:jc w:val="both"/>
        <w:rPr>
          <w:rFonts w:ascii="Calibri" w:hAnsi="Calibri" w:cs="Arial"/>
          <w:bCs/>
          <w:sz w:val="20"/>
          <w:szCs w:val="20"/>
        </w:rPr>
      </w:pPr>
      <w:r w:rsidRPr="00707839">
        <w:rPr>
          <w:rFonts w:ascii="Calibri" w:hAnsi="Calibri"/>
          <w:sz w:val="20"/>
          <w:szCs w:val="20"/>
        </w:rPr>
        <w:t>La cuenta denominada Nacional Financiera Fideicomiso Contrato 1063970, corresponde a la cuenta concentradora que acumula los recursos transferidos por el Gobierno del Estado. Esta cuenta es</w:t>
      </w:r>
      <w:r w:rsidRPr="00707839">
        <w:rPr>
          <w:rFonts w:ascii="Calibri" w:hAnsi="Calibri" w:cs="Arial"/>
          <w:bCs/>
          <w:sz w:val="20"/>
          <w:szCs w:val="20"/>
        </w:rPr>
        <w:t xml:space="preserve"> </w:t>
      </w:r>
      <w:r w:rsidRPr="00707839">
        <w:rPr>
          <w:rFonts w:ascii="Calibri" w:hAnsi="Calibri"/>
          <w:sz w:val="20"/>
          <w:szCs w:val="20"/>
        </w:rPr>
        <w:t xml:space="preserve">administrada por Nacional Financiera S.N.C., conforme al contrato modificatorio suscrito el 25 de Mayo de 2009. De esta cuenta, se efectúa transferencia a la cuenta bancaria: Banorte No. 1070104715 (Participación Federal Capítulo 1000).  </w:t>
      </w:r>
    </w:p>
    <w:p w:rsidR="00A47351" w:rsidRPr="00707839" w:rsidRDefault="00A47351" w:rsidP="00A47351">
      <w:pPr>
        <w:pStyle w:val="Prrafodelista"/>
        <w:tabs>
          <w:tab w:val="left" w:pos="284"/>
        </w:tabs>
        <w:ind w:left="0"/>
        <w:jc w:val="both"/>
        <w:rPr>
          <w:rFonts w:ascii="Calibri" w:hAnsi="Calibri" w:cs="Arial"/>
          <w:bCs/>
          <w:sz w:val="20"/>
          <w:szCs w:val="20"/>
        </w:rPr>
      </w:pPr>
    </w:p>
    <w:p w:rsidR="00A47351" w:rsidRPr="00707839" w:rsidRDefault="00A47351" w:rsidP="00A47351">
      <w:pPr>
        <w:pStyle w:val="Prrafodelista"/>
        <w:numPr>
          <w:ilvl w:val="0"/>
          <w:numId w:val="8"/>
        </w:numPr>
        <w:tabs>
          <w:tab w:val="left" w:pos="284"/>
        </w:tabs>
        <w:ind w:left="0" w:firstLine="0"/>
        <w:jc w:val="both"/>
        <w:rPr>
          <w:rFonts w:ascii="Calibri" w:hAnsi="Calibri"/>
          <w:sz w:val="20"/>
          <w:szCs w:val="20"/>
        </w:rPr>
      </w:pPr>
      <w:r w:rsidRPr="00707839">
        <w:rPr>
          <w:rFonts w:ascii="Calibri" w:hAnsi="Calibri"/>
          <w:sz w:val="20"/>
          <w:szCs w:val="20"/>
        </w:rPr>
        <w:t>La cuenta denominada Banorte No. 610257195 Gasto Corriente, acumula el efectivo disponible para adquirir los bienes, materiales y servicios necesarios para el desarrollo propio de las funciones administrativas y de los proyectos artísticos del FIGAROSY. Se realiza pagos por compra de material de oficina, servicio de telefonía fija, contratación de artistas invitados, inserciones y spots publicitarios, entre otros.</w:t>
      </w:r>
    </w:p>
    <w:p w:rsidR="00A47351" w:rsidRPr="00707839" w:rsidRDefault="00A47351" w:rsidP="00A47351">
      <w:pPr>
        <w:pStyle w:val="Prrafodelista"/>
        <w:tabs>
          <w:tab w:val="left" w:pos="284"/>
        </w:tabs>
        <w:ind w:left="0"/>
        <w:jc w:val="both"/>
        <w:rPr>
          <w:rFonts w:ascii="Calibri" w:hAnsi="Calibri"/>
          <w:sz w:val="20"/>
          <w:szCs w:val="20"/>
        </w:rPr>
      </w:pPr>
    </w:p>
    <w:p w:rsidR="00A47351" w:rsidRPr="00707839" w:rsidRDefault="00A47351" w:rsidP="00A47351">
      <w:pPr>
        <w:pStyle w:val="Prrafodelista"/>
        <w:numPr>
          <w:ilvl w:val="0"/>
          <w:numId w:val="8"/>
        </w:numPr>
        <w:tabs>
          <w:tab w:val="left" w:pos="284"/>
        </w:tabs>
        <w:ind w:left="0" w:firstLine="0"/>
        <w:jc w:val="both"/>
        <w:rPr>
          <w:rFonts w:ascii="Calibri" w:hAnsi="Calibri"/>
          <w:sz w:val="20"/>
          <w:szCs w:val="20"/>
        </w:rPr>
      </w:pPr>
      <w:r w:rsidRPr="00707839">
        <w:rPr>
          <w:rFonts w:ascii="Calibri" w:hAnsi="Calibri"/>
          <w:sz w:val="20"/>
          <w:szCs w:val="20"/>
        </w:rPr>
        <w:t>La cuenta denominada Banorte No. 0610257186 Nómina, acumula el efectivo disponible para erogar los sueldos del personal adscrito al FIGAROSY y demás conceptos relacionados con la nómina.</w:t>
      </w:r>
    </w:p>
    <w:p w:rsidR="00A47351" w:rsidRPr="00707839" w:rsidRDefault="00A47351" w:rsidP="00A47351">
      <w:pPr>
        <w:pStyle w:val="Prrafodelista"/>
        <w:tabs>
          <w:tab w:val="left" w:pos="284"/>
        </w:tabs>
        <w:ind w:left="0"/>
        <w:jc w:val="both"/>
        <w:rPr>
          <w:rFonts w:ascii="Calibri" w:hAnsi="Calibri"/>
          <w:sz w:val="20"/>
          <w:szCs w:val="20"/>
        </w:rPr>
      </w:pPr>
    </w:p>
    <w:p w:rsidR="00A47351" w:rsidRPr="00707839" w:rsidRDefault="00A47351" w:rsidP="00A47351">
      <w:pPr>
        <w:pStyle w:val="Prrafodelista"/>
        <w:numPr>
          <w:ilvl w:val="0"/>
          <w:numId w:val="8"/>
        </w:numPr>
        <w:tabs>
          <w:tab w:val="left" w:pos="284"/>
        </w:tabs>
        <w:ind w:left="0" w:firstLine="0"/>
        <w:jc w:val="both"/>
        <w:rPr>
          <w:rFonts w:ascii="Calibri" w:hAnsi="Calibri"/>
          <w:sz w:val="20"/>
          <w:szCs w:val="20"/>
        </w:rPr>
      </w:pPr>
      <w:r w:rsidRPr="00707839">
        <w:rPr>
          <w:rFonts w:ascii="Calibri" w:hAnsi="Calibri"/>
          <w:sz w:val="20"/>
          <w:szCs w:val="20"/>
        </w:rPr>
        <w:t>La cuenta denominada Banorte No. 0639430485 Ingresos, acumula el importe por la venta de localidades de las presentaciones de la Orquesta Sinfónica de Yucatán recaudadas en efectivo,  a través tarjeta de crédito o débito y a través de la página web (venta en línea), así como otros ingresos establecidos en el artículo 5 del decreto No. 69 donde se establece la creación del FIGAROSY y el decreto No. 160 donde se reforma, adiciona y deroga diversas disposiciones del primero, publicado en el Diario Oficial del Estado el 18 de Marzo de 2008 y 19 de Enero de 2009, respectivamente.</w:t>
      </w:r>
    </w:p>
    <w:p w:rsidR="00A47351" w:rsidRPr="00707839" w:rsidRDefault="00A47351" w:rsidP="005B5C4B">
      <w:pPr>
        <w:pStyle w:val="Prrafodelista"/>
        <w:ind w:left="0"/>
        <w:rPr>
          <w:rFonts w:ascii="Calibri" w:hAnsi="Calibri"/>
          <w:sz w:val="20"/>
          <w:szCs w:val="20"/>
        </w:rPr>
      </w:pPr>
    </w:p>
    <w:p w:rsidR="00A47351" w:rsidRPr="00707839" w:rsidRDefault="00A47351" w:rsidP="00A47351">
      <w:pPr>
        <w:pStyle w:val="Prrafodelista"/>
        <w:numPr>
          <w:ilvl w:val="0"/>
          <w:numId w:val="8"/>
        </w:numPr>
        <w:tabs>
          <w:tab w:val="left" w:pos="284"/>
        </w:tabs>
        <w:ind w:left="0" w:firstLine="0"/>
        <w:jc w:val="both"/>
        <w:rPr>
          <w:rFonts w:ascii="Calibri" w:hAnsi="Calibri"/>
          <w:sz w:val="20"/>
          <w:szCs w:val="20"/>
        </w:rPr>
      </w:pPr>
      <w:r w:rsidRPr="00707839">
        <w:rPr>
          <w:rFonts w:ascii="Calibri" w:hAnsi="Calibri"/>
          <w:sz w:val="20"/>
          <w:szCs w:val="20"/>
        </w:rPr>
        <w:t xml:space="preserve">La cuenta denominada Banorte No. 592674928 Débito empresarial, acumula el efectivo disponible para el pago </w:t>
      </w:r>
      <w:proofErr w:type="spellStart"/>
      <w:r w:rsidRPr="00707839">
        <w:rPr>
          <w:rFonts w:ascii="Calibri" w:hAnsi="Calibri"/>
          <w:sz w:val="20"/>
          <w:szCs w:val="20"/>
        </w:rPr>
        <w:t>e</w:t>
      </w:r>
      <w:proofErr w:type="spellEnd"/>
      <w:r w:rsidRPr="00707839">
        <w:rPr>
          <w:rFonts w:ascii="Calibri" w:hAnsi="Calibri"/>
          <w:sz w:val="20"/>
          <w:szCs w:val="20"/>
        </w:rPr>
        <w:t xml:space="preserve"> servicios que únicamente pueden ser adquiridos por esta vía o servicios cuyo costo-beneficio resulta en una economía al adquirirlos y pagar vía dicha tarjeta, como son publicidad en la red social Facebook, música orquestal en plataformas de internet, boletos de avión de directores artísticos invitados, solistas, músicos extras, entre otros.</w:t>
      </w:r>
    </w:p>
    <w:p w:rsidR="00C243D7" w:rsidRPr="00707839" w:rsidRDefault="00C243D7" w:rsidP="00C243D7">
      <w:pPr>
        <w:pStyle w:val="Prrafodelista"/>
        <w:rPr>
          <w:rFonts w:ascii="Calibri" w:hAnsi="Calibri"/>
          <w:sz w:val="20"/>
          <w:szCs w:val="20"/>
        </w:rPr>
      </w:pPr>
    </w:p>
    <w:p w:rsidR="00C243D7" w:rsidRPr="00707839" w:rsidRDefault="00C243D7" w:rsidP="00A47351">
      <w:pPr>
        <w:pStyle w:val="Prrafodelista"/>
        <w:numPr>
          <w:ilvl w:val="0"/>
          <w:numId w:val="8"/>
        </w:numPr>
        <w:tabs>
          <w:tab w:val="left" w:pos="284"/>
        </w:tabs>
        <w:ind w:left="0" w:firstLine="0"/>
        <w:jc w:val="both"/>
        <w:rPr>
          <w:rFonts w:ascii="Calibri" w:hAnsi="Calibri"/>
          <w:sz w:val="20"/>
          <w:szCs w:val="20"/>
        </w:rPr>
      </w:pPr>
    </w:p>
    <w:p w:rsidR="00A47351" w:rsidRPr="00707839" w:rsidRDefault="00A47351" w:rsidP="00A47351">
      <w:pPr>
        <w:pStyle w:val="Prrafodelista"/>
        <w:numPr>
          <w:ilvl w:val="0"/>
          <w:numId w:val="8"/>
        </w:numPr>
        <w:tabs>
          <w:tab w:val="left" w:pos="284"/>
        </w:tabs>
        <w:ind w:left="0" w:firstLine="0"/>
        <w:jc w:val="both"/>
        <w:rPr>
          <w:rFonts w:ascii="Calibri" w:hAnsi="Calibri"/>
          <w:sz w:val="20"/>
          <w:szCs w:val="20"/>
        </w:rPr>
      </w:pPr>
      <w:r w:rsidRPr="00707839">
        <w:rPr>
          <w:rFonts w:ascii="Calibri" w:hAnsi="Calibri"/>
          <w:sz w:val="20"/>
          <w:szCs w:val="20"/>
        </w:rPr>
        <w:t>La cuenta denominada Banorte No. 1070104715 Participaciones Federales, acumula el efectivo disponible para erogar los sueldos del personal adscrito al FIGAROSY y demás conceptos relacionados con la nómina que provienen del recurso de Participaciones Federales.</w:t>
      </w:r>
    </w:p>
    <w:p w:rsidR="00A47351" w:rsidRPr="00707839" w:rsidRDefault="00A47351" w:rsidP="00A47351">
      <w:pPr>
        <w:rPr>
          <w:rFonts w:ascii="Calibri" w:hAnsi="Calibri"/>
          <w:sz w:val="20"/>
          <w:szCs w:val="20"/>
        </w:rPr>
      </w:pPr>
    </w:p>
    <w:p w:rsidR="00A47351" w:rsidRPr="00707839" w:rsidRDefault="00A47351" w:rsidP="00A47351">
      <w:pPr>
        <w:pStyle w:val="Prrafodelista"/>
        <w:numPr>
          <w:ilvl w:val="2"/>
          <w:numId w:val="16"/>
        </w:numPr>
        <w:tabs>
          <w:tab w:val="left" w:pos="426"/>
          <w:tab w:val="left" w:pos="709"/>
        </w:tabs>
        <w:ind w:left="0" w:firstLine="0"/>
        <w:rPr>
          <w:rFonts w:ascii="Calibri" w:hAnsi="Calibri"/>
          <w:b/>
          <w:sz w:val="20"/>
          <w:szCs w:val="20"/>
        </w:rPr>
      </w:pPr>
      <w:r w:rsidRPr="00707839">
        <w:rPr>
          <w:rFonts w:ascii="Calibri" w:hAnsi="Calibri"/>
          <w:b/>
          <w:sz w:val="20"/>
          <w:szCs w:val="20"/>
        </w:rPr>
        <w:t xml:space="preserve"> Derechos a Recibir efectivo o equivalentes y Bienes o Servicios a Recibir.</w:t>
      </w:r>
    </w:p>
    <w:p w:rsidR="00A47351" w:rsidRPr="00707839" w:rsidRDefault="00A47351" w:rsidP="00A47351">
      <w:pPr>
        <w:pStyle w:val="Prrafodelista"/>
        <w:tabs>
          <w:tab w:val="left" w:pos="426"/>
        </w:tabs>
        <w:ind w:left="0"/>
        <w:rPr>
          <w:rFonts w:ascii="Calibri" w:hAnsi="Calibri"/>
          <w:b/>
          <w:sz w:val="20"/>
          <w:szCs w:val="20"/>
        </w:rPr>
      </w:pPr>
    </w:p>
    <w:p w:rsidR="00A47351" w:rsidRPr="00707839" w:rsidRDefault="00A47351" w:rsidP="00A47351">
      <w:pPr>
        <w:tabs>
          <w:tab w:val="left" w:pos="426"/>
        </w:tabs>
        <w:jc w:val="both"/>
        <w:rPr>
          <w:rFonts w:ascii="Calibri" w:hAnsi="Calibri"/>
          <w:sz w:val="20"/>
          <w:szCs w:val="20"/>
        </w:rPr>
      </w:pPr>
      <w:r w:rsidRPr="00707839">
        <w:rPr>
          <w:rFonts w:ascii="Calibri" w:hAnsi="Calibri"/>
          <w:sz w:val="20"/>
          <w:szCs w:val="20"/>
        </w:rPr>
        <w:t>El rubro de Derechos a recibir efectivo o equivalentes y bienes o servicios</w:t>
      </w:r>
      <w:r w:rsidR="007031B6" w:rsidRPr="00707839">
        <w:rPr>
          <w:rFonts w:ascii="Calibri" w:hAnsi="Calibri"/>
          <w:sz w:val="20"/>
          <w:szCs w:val="20"/>
        </w:rPr>
        <w:t xml:space="preserve"> a recibir </w:t>
      </w:r>
      <w:r w:rsidR="00BD2A58" w:rsidRPr="00707839">
        <w:rPr>
          <w:rFonts w:ascii="Calibri" w:hAnsi="Calibri"/>
          <w:sz w:val="20"/>
          <w:szCs w:val="20"/>
        </w:rPr>
        <w:t xml:space="preserve">al </w:t>
      </w:r>
      <w:r w:rsidR="001A2FAC" w:rsidRPr="00707839">
        <w:rPr>
          <w:rFonts w:ascii="Calibri" w:hAnsi="Calibri"/>
          <w:sz w:val="20"/>
          <w:szCs w:val="20"/>
        </w:rPr>
        <w:t>31 de Mayo de 2022</w:t>
      </w:r>
      <w:r w:rsidR="00CA0766" w:rsidRPr="00707839">
        <w:rPr>
          <w:rFonts w:ascii="Calibri" w:hAnsi="Calibri"/>
          <w:sz w:val="20"/>
          <w:szCs w:val="20"/>
        </w:rPr>
        <w:t>,</w:t>
      </w:r>
      <w:r w:rsidRPr="00707839">
        <w:rPr>
          <w:rFonts w:ascii="Calibri" w:hAnsi="Calibri"/>
          <w:sz w:val="20"/>
          <w:szCs w:val="20"/>
        </w:rPr>
        <w:t xml:space="preserve"> se encuentra integrada de la siguiente manera:</w:t>
      </w:r>
    </w:p>
    <w:p w:rsidR="00CE2F1B" w:rsidRPr="00707839" w:rsidRDefault="00CE2F1B" w:rsidP="00A47351">
      <w:pPr>
        <w:tabs>
          <w:tab w:val="left" w:pos="426"/>
        </w:tabs>
        <w:jc w:val="both"/>
        <w:rPr>
          <w:rFonts w:ascii="Calibri" w:hAnsi="Calibri"/>
          <w:sz w:val="20"/>
          <w:szCs w:val="20"/>
        </w:rPr>
      </w:pPr>
    </w:p>
    <w:p w:rsidR="00CE2F1B" w:rsidRPr="00707839" w:rsidRDefault="00CE2F1B" w:rsidP="00CE2F1B">
      <w:pPr>
        <w:tabs>
          <w:tab w:val="left" w:pos="426"/>
        </w:tabs>
        <w:jc w:val="center"/>
        <w:rPr>
          <w:rFonts w:ascii="Calibri" w:hAnsi="Calibri"/>
          <w:sz w:val="20"/>
          <w:szCs w:val="20"/>
        </w:rPr>
      </w:pPr>
    </w:p>
    <w:p w:rsidR="001A7521" w:rsidRPr="00707839" w:rsidRDefault="001A7521" w:rsidP="00A47351">
      <w:pPr>
        <w:tabs>
          <w:tab w:val="left" w:pos="426"/>
        </w:tabs>
        <w:jc w:val="both"/>
        <w:rPr>
          <w:rFonts w:ascii="Calibri" w:hAnsi="Calibri"/>
          <w:sz w:val="20"/>
          <w:szCs w:val="20"/>
        </w:rPr>
      </w:pPr>
    </w:p>
    <w:p w:rsidR="008749CD" w:rsidRPr="00707839" w:rsidRDefault="005423DA" w:rsidP="001B7FE1">
      <w:pPr>
        <w:tabs>
          <w:tab w:val="left" w:pos="426"/>
        </w:tabs>
        <w:jc w:val="center"/>
        <w:rPr>
          <w:rFonts w:ascii="Calibri" w:hAnsi="Calibri"/>
          <w:sz w:val="20"/>
          <w:szCs w:val="20"/>
        </w:rPr>
      </w:pPr>
      <w:r w:rsidRPr="00707839">
        <w:rPr>
          <w:noProof/>
          <w:lang w:eastAsia="es-MX"/>
        </w:rPr>
        <w:drawing>
          <wp:inline distT="0" distB="0" distL="0" distR="0">
            <wp:extent cx="4514850" cy="12287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14850" cy="1228725"/>
                    </a:xfrm>
                    <a:prstGeom prst="rect">
                      <a:avLst/>
                    </a:prstGeom>
                    <a:noFill/>
                    <a:ln>
                      <a:noFill/>
                    </a:ln>
                  </pic:spPr>
                </pic:pic>
              </a:graphicData>
            </a:graphic>
          </wp:inline>
        </w:drawing>
      </w:r>
    </w:p>
    <w:p w:rsidR="008749CD" w:rsidRPr="00707839" w:rsidRDefault="008749CD" w:rsidP="00A47351">
      <w:pPr>
        <w:tabs>
          <w:tab w:val="left" w:pos="426"/>
        </w:tabs>
        <w:jc w:val="both"/>
        <w:rPr>
          <w:rFonts w:ascii="Calibri" w:hAnsi="Calibri"/>
          <w:sz w:val="20"/>
          <w:szCs w:val="20"/>
        </w:rPr>
      </w:pPr>
    </w:p>
    <w:p w:rsidR="007F6C9A" w:rsidRPr="00707839" w:rsidRDefault="007F6C9A" w:rsidP="00A47351">
      <w:pPr>
        <w:tabs>
          <w:tab w:val="left" w:pos="0"/>
        </w:tabs>
        <w:jc w:val="both"/>
        <w:rPr>
          <w:rFonts w:ascii="Calibri" w:hAnsi="Calibri"/>
          <w:b/>
          <w:sz w:val="20"/>
          <w:szCs w:val="20"/>
        </w:rPr>
      </w:pPr>
    </w:p>
    <w:p w:rsidR="00A47351" w:rsidRPr="00707839" w:rsidRDefault="00A47351" w:rsidP="00A47351">
      <w:pPr>
        <w:tabs>
          <w:tab w:val="left" w:pos="0"/>
        </w:tabs>
        <w:jc w:val="both"/>
        <w:rPr>
          <w:rFonts w:ascii="Calibri" w:hAnsi="Calibri"/>
          <w:sz w:val="20"/>
          <w:szCs w:val="20"/>
        </w:rPr>
      </w:pPr>
      <w:r w:rsidRPr="00707839">
        <w:rPr>
          <w:rFonts w:ascii="Calibri" w:hAnsi="Calibri"/>
          <w:b/>
          <w:sz w:val="20"/>
          <w:szCs w:val="20"/>
        </w:rPr>
        <w:t>1.1.2.1</w:t>
      </w:r>
      <w:r w:rsidRPr="00707839">
        <w:rPr>
          <w:rFonts w:ascii="Calibri" w:hAnsi="Calibri"/>
          <w:sz w:val="20"/>
          <w:szCs w:val="20"/>
        </w:rPr>
        <w:t xml:space="preserve"> El rubro de Derechos a recibir efectivo o equivalentes </w:t>
      </w:r>
      <w:r w:rsidR="00BD2A58" w:rsidRPr="00707839">
        <w:rPr>
          <w:rFonts w:ascii="Calibri" w:hAnsi="Calibri"/>
          <w:sz w:val="20"/>
          <w:szCs w:val="20"/>
        </w:rPr>
        <w:t xml:space="preserve">al </w:t>
      </w:r>
      <w:r w:rsidR="001A2FAC" w:rsidRPr="00707839">
        <w:rPr>
          <w:rFonts w:ascii="Calibri" w:hAnsi="Calibri"/>
          <w:sz w:val="20"/>
          <w:szCs w:val="20"/>
        </w:rPr>
        <w:t>31 de Mayo de 2022</w:t>
      </w:r>
      <w:r w:rsidR="00CA0766" w:rsidRPr="00707839">
        <w:rPr>
          <w:rFonts w:ascii="Calibri" w:hAnsi="Calibri"/>
          <w:sz w:val="20"/>
          <w:szCs w:val="20"/>
        </w:rPr>
        <w:t>,</w:t>
      </w:r>
      <w:r w:rsidRPr="00707839">
        <w:rPr>
          <w:rFonts w:ascii="Calibri" w:hAnsi="Calibri"/>
          <w:sz w:val="20"/>
          <w:szCs w:val="20"/>
        </w:rPr>
        <w:t xml:space="preserve"> se encuentra integrada de la siguiente manera:</w:t>
      </w:r>
    </w:p>
    <w:p w:rsidR="00CE2F1B" w:rsidRPr="00707839" w:rsidRDefault="00CE2F1B" w:rsidP="00A47351">
      <w:pPr>
        <w:tabs>
          <w:tab w:val="left" w:pos="0"/>
        </w:tabs>
        <w:jc w:val="both"/>
        <w:rPr>
          <w:rFonts w:ascii="Calibri" w:hAnsi="Calibri"/>
          <w:sz w:val="20"/>
          <w:szCs w:val="20"/>
        </w:rPr>
      </w:pPr>
    </w:p>
    <w:p w:rsidR="008749CD" w:rsidRPr="00707839" w:rsidRDefault="008749CD" w:rsidP="00CE2F1B">
      <w:pPr>
        <w:pStyle w:val="Prrafodelista"/>
        <w:tabs>
          <w:tab w:val="left" w:pos="426"/>
        </w:tabs>
        <w:ind w:left="0"/>
        <w:jc w:val="center"/>
        <w:rPr>
          <w:rFonts w:ascii="Calibri" w:hAnsi="Calibri"/>
          <w:sz w:val="20"/>
          <w:szCs w:val="20"/>
        </w:rPr>
      </w:pPr>
    </w:p>
    <w:p w:rsidR="00E02DF3" w:rsidRPr="00707839" w:rsidRDefault="005423DA" w:rsidP="005423DA">
      <w:pPr>
        <w:pStyle w:val="Prrafodelista"/>
        <w:tabs>
          <w:tab w:val="left" w:pos="426"/>
        </w:tabs>
        <w:ind w:left="0"/>
        <w:jc w:val="center"/>
        <w:rPr>
          <w:rFonts w:ascii="Calibri" w:hAnsi="Calibri"/>
          <w:sz w:val="20"/>
          <w:szCs w:val="20"/>
        </w:rPr>
      </w:pPr>
      <w:r w:rsidRPr="00707839">
        <w:rPr>
          <w:noProof/>
          <w:lang w:eastAsia="es-MX"/>
        </w:rPr>
        <w:drawing>
          <wp:inline distT="0" distB="0" distL="0" distR="0">
            <wp:extent cx="5372100" cy="10287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2100" cy="1028700"/>
                    </a:xfrm>
                    <a:prstGeom prst="rect">
                      <a:avLst/>
                    </a:prstGeom>
                    <a:noFill/>
                    <a:ln>
                      <a:noFill/>
                    </a:ln>
                  </pic:spPr>
                </pic:pic>
              </a:graphicData>
            </a:graphic>
          </wp:inline>
        </w:drawing>
      </w:r>
    </w:p>
    <w:p w:rsidR="007F6C9A" w:rsidRDefault="007F6C9A" w:rsidP="00A47351">
      <w:pPr>
        <w:pStyle w:val="Prrafodelista"/>
        <w:tabs>
          <w:tab w:val="left" w:pos="426"/>
        </w:tabs>
        <w:ind w:left="0"/>
        <w:jc w:val="both"/>
        <w:rPr>
          <w:rFonts w:ascii="Calibri" w:hAnsi="Calibri"/>
          <w:sz w:val="20"/>
          <w:szCs w:val="20"/>
        </w:rPr>
      </w:pPr>
    </w:p>
    <w:p w:rsidR="006E7C7C" w:rsidRDefault="006E7C7C" w:rsidP="00A47351">
      <w:pPr>
        <w:pStyle w:val="Prrafodelista"/>
        <w:tabs>
          <w:tab w:val="left" w:pos="426"/>
        </w:tabs>
        <w:ind w:left="0"/>
        <w:jc w:val="both"/>
        <w:rPr>
          <w:rFonts w:ascii="Calibri" w:hAnsi="Calibri"/>
          <w:sz w:val="20"/>
          <w:szCs w:val="20"/>
        </w:rPr>
      </w:pPr>
    </w:p>
    <w:p w:rsidR="006E7C7C" w:rsidRDefault="006E7C7C" w:rsidP="00A47351">
      <w:pPr>
        <w:pStyle w:val="Prrafodelista"/>
        <w:tabs>
          <w:tab w:val="left" w:pos="426"/>
        </w:tabs>
        <w:ind w:left="0"/>
        <w:jc w:val="both"/>
        <w:rPr>
          <w:rFonts w:ascii="Calibri" w:hAnsi="Calibri"/>
          <w:sz w:val="20"/>
          <w:szCs w:val="20"/>
        </w:rPr>
      </w:pPr>
    </w:p>
    <w:p w:rsidR="006E7C7C" w:rsidRPr="00707839" w:rsidRDefault="006E7C7C" w:rsidP="00A47351">
      <w:pPr>
        <w:pStyle w:val="Prrafodelista"/>
        <w:tabs>
          <w:tab w:val="left" w:pos="426"/>
        </w:tabs>
        <w:ind w:left="0"/>
        <w:jc w:val="both"/>
        <w:rPr>
          <w:rFonts w:ascii="Calibri" w:hAnsi="Calibri"/>
          <w:sz w:val="20"/>
          <w:szCs w:val="20"/>
        </w:rPr>
      </w:pPr>
    </w:p>
    <w:p w:rsidR="00A47351" w:rsidRPr="00707839" w:rsidRDefault="00A47351" w:rsidP="00A47351">
      <w:pPr>
        <w:pStyle w:val="Prrafodelista"/>
        <w:tabs>
          <w:tab w:val="left" w:pos="709"/>
          <w:tab w:val="left" w:pos="851"/>
          <w:tab w:val="left" w:pos="1418"/>
        </w:tabs>
        <w:ind w:left="0"/>
        <w:rPr>
          <w:rFonts w:ascii="Calibri" w:hAnsi="Calibri"/>
          <w:sz w:val="20"/>
          <w:szCs w:val="20"/>
        </w:rPr>
      </w:pPr>
      <w:r w:rsidRPr="00707839">
        <w:rPr>
          <w:rFonts w:ascii="Calibri" w:hAnsi="Calibri"/>
          <w:b/>
          <w:sz w:val="20"/>
          <w:szCs w:val="20"/>
        </w:rPr>
        <w:t>1.1.2.1.2</w:t>
      </w:r>
      <w:r w:rsidRPr="00707839">
        <w:rPr>
          <w:rFonts w:ascii="Calibri" w:hAnsi="Calibri"/>
          <w:sz w:val="20"/>
          <w:szCs w:val="20"/>
        </w:rPr>
        <w:t xml:space="preserve"> Las cuentas deudores diversos se integran de la siguiente manera:</w:t>
      </w:r>
    </w:p>
    <w:p w:rsidR="00A47351" w:rsidRPr="00707839" w:rsidRDefault="00A47351" w:rsidP="00A47351">
      <w:pPr>
        <w:tabs>
          <w:tab w:val="left" w:pos="1965"/>
        </w:tabs>
      </w:pPr>
    </w:p>
    <w:p w:rsidR="00E02DF3" w:rsidRPr="00707839" w:rsidRDefault="00BD2A58" w:rsidP="00BD2A58">
      <w:pPr>
        <w:tabs>
          <w:tab w:val="left" w:pos="1965"/>
        </w:tabs>
        <w:rPr>
          <w:rFonts w:ascii="Calibri" w:hAnsi="Calibri"/>
          <w:sz w:val="20"/>
          <w:szCs w:val="20"/>
        </w:rPr>
      </w:pPr>
      <w:r w:rsidRPr="00707839">
        <w:rPr>
          <w:rFonts w:ascii="Calibri" w:hAnsi="Calibri"/>
          <w:sz w:val="20"/>
          <w:szCs w:val="20"/>
        </w:rPr>
        <w:t xml:space="preserve">Al </w:t>
      </w:r>
      <w:r w:rsidR="001A2FAC" w:rsidRPr="00707839">
        <w:rPr>
          <w:rFonts w:ascii="Calibri" w:hAnsi="Calibri"/>
          <w:sz w:val="20"/>
          <w:szCs w:val="20"/>
        </w:rPr>
        <w:t>31 de Mayo de 2022</w:t>
      </w:r>
      <w:r w:rsidRPr="00707839">
        <w:rPr>
          <w:rFonts w:ascii="Calibri" w:hAnsi="Calibri"/>
          <w:sz w:val="20"/>
          <w:szCs w:val="20"/>
        </w:rPr>
        <w:t>, no se cuenta con saldo en la cuenta de deudores diversos.</w:t>
      </w:r>
    </w:p>
    <w:p w:rsidR="00C243D7" w:rsidRPr="00707839" w:rsidRDefault="00C243D7" w:rsidP="00A47351">
      <w:pPr>
        <w:pStyle w:val="Prrafodelista"/>
        <w:tabs>
          <w:tab w:val="left" w:pos="0"/>
        </w:tabs>
        <w:ind w:left="0"/>
        <w:jc w:val="both"/>
        <w:rPr>
          <w:rFonts w:ascii="Calibri" w:hAnsi="Calibri"/>
          <w:b/>
          <w:sz w:val="20"/>
          <w:szCs w:val="20"/>
        </w:rPr>
      </w:pPr>
    </w:p>
    <w:p w:rsidR="00A47351" w:rsidRPr="00707839" w:rsidRDefault="00A47351" w:rsidP="00A47351">
      <w:pPr>
        <w:pStyle w:val="Prrafodelista"/>
        <w:tabs>
          <w:tab w:val="left" w:pos="0"/>
        </w:tabs>
        <w:ind w:left="0"/>
        <w:jc w:val="both"/>
        <w:rPr>
          <w:rFonts w:ascii="Calibri" w:hAnsi="Calibri"/>
          <w:sz w:val="20"/>
          <w:szCs w:val="20"/>
        </w:rPr>
      </w:pPr>
      <w:r w:rsidRPr="00707839">
        <w:rPr>
          <w:rFonts w:ascii="Calibri" w:hAnsi="Calibri"/>
          <w:b/>
          <w:sz w:val="20"/>
          <w:szCs w:val="20"/>
        </w:rPr>
        <w:t>1.1.2.2</w:t>
      </w:r>
      <w:r w:rsidRPr="00707839">
        <w:rPr>
          <w:rFonts w:ascii="Calibri" w:hAnsi="Calibri"/>
          <w:sz w:val="20"/>
          <w:szCs w:val="20"/>
        </w:rPr>
        <w:t xml:space="preserve"> El rubro de derechos a recibir bienes o servicios </w:t>
      </w:r>
      <w:r w:rsidR="00BD2A58" w:rsidRPr="00707839">
        <w:rPr>
          <w:rFonts w:ascii="Calibri" w:hAnsi="Calibri"/>
          <w:sz w:val="20"/>
          <w:szCs w:val="20"/>
        </w:rPr>
        <w:t xml:space="preserve">al </w:t>
      </w:r>
      <w:r w:rsidR="001A2FAC" w:rsidRPr="00707839">
        <w:rPr>
          <w:rFonts w:ascii="Calibri" w:hAnsi="Calibri"/>
          <w:sz w:val="20"/>
          <w:szCs w:val="20"/>
        </w:rPr>
        <w:t>31 de Mayo de 2022</w:t>
      </w:r>
      <w:r w:rsidR="00CA0766" w:rsidRPr="00707839">
        <w:rPr>
          <w:rFonts w:ascii="Calibri" w:hAnsi="Calibri"/>
          <w:sz w:val="20"/>
          <w:szCs w:val="20"/>
        </w:rPr>
        <w:t>,</w:t>
      </w:r>
      <w:r w:rsidRPr="00707839">
        <w:rPr>
          <w:rFonts w:ascii="Calibri" w:hAnsi="Calibri"/>
          <w:sz w:val="20"/>
          <w:szCs w:val="20"/>
        </w:rPr>
        <w:t xml:space="preserve"> se integra únicamente por la cuen</w:t>
      </w:r>
      <w:r w:rsidR="005B6EA4" w:rsidRPr="00707839">
        <w:rPr>
          <w:rFonts w:ascii="Calibri" w:hAnsi="Calibri"/>
          <w:sz w:val="20"/>
          <w:szCs w:val="20"/>
        </w:rPr>
        <w:t xml:space="preserve">ta de anticipos a corto plazo, </w:t>
      </w:r>
      <w:r w:rsidRPr="00707839">
        <w:rPr>
          <w:rFonts w:ascii="Calibri" w:hAnsi="Calibri"/>
          <w:sz w:val="20"/>
          <w:szCs w:val="20"/>
        </w:rPr>
        <w:t>se conforma de la siguiente manera:</w:t>
      </w:r>
    </w:p>
    <w:p w:rsidR="002F0C14" w:rsidRPr="00707839" w:rsidRDefault="002F0C14" w:rsidP="008749CD">
      <w:pPr>
        <w:pStyle w:val="Prrafodelista"/>
        <w:tabs>
          <w:tab w:val="left" w:pos="426"/>
        </w:tabs>
        <w:ind w:left="0"/>
        <w:rPr>
          <w:rFonts w:ascii="Calibri" w:hAnsi="Calibri"/>
          <w:sz w:val="20"/>
          <w:szCs w:val="20"/>
        </w:rPr>
      </w:pPr>
    </w:p>
    <w:p w:rsidR="002F0C14" w:rsidRPr="00707839" w:rsidRDefault="002F0C14" w:rsidP="008749CD">
      <w:pPr>
        <w:pStyle w:val="Prrafodelista"/>
        <w:tabs>
          <w:tab w:val="left" w:pos="426"/>
        </w:tabs>
        <w:ind w:left="0"/>
        <w:jc w:val="center"/>
        <w:rPr>
          <w:rFonts w:ascii="Calibri" w:hAnsi="Calibri"/>
          <w:sz w:val="20"/>
          <w:szCs w:val="20"/>
        </w:rPr>
      </w:pPr>
    </w:p>
    <w:p w:rsidR="002F0C14" w:rsidRPr="00707839" w:rsidRDefault="00A146C4" w:rsidP="008749CD">
      <w:pPr>
        <w:pStyle w:val="Prrafodelista"/>
        <w:tabs>
          <w:tab w:val="left" w:pos="426"/>
        </w:tabs>
        <w:ind w:left="0"/>
        <w:jc w:val="center"/>
        <w:rPr>
          <w:rFonts w:ascii="Calibri" w:hAnsi="Calibri"/>
          <w:sz w:val="20"/>
          <w:szCs w:val="20"/>
        </w:rPr>
      </w:pPr>
      <w:r w:rsidRPr="00707839">
        <w:rPr>
          <w:noProof/>
          <w:lang w:eastAsia="es-MX"/>
        </w:rPr>
        <w:drawing>
          <wp:inline distT="0" distB="0" distL="0" distR="0">
            <wp:extent cx="6105525" cy="12668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05525" cy="1266825"/>
                    </a:xfrm>
                    <a:prstGeom prst="rect">
                      <a:avLst/>
                    </a:prstGeom>
                    <a:noFill/>
                    <a:ln>
                      <a:noFill/>
                    </a:ln>
                  </pic:spPr>
                </pic:pic>
              </a:graphicData>
            </a:graphic>
          </wp:inline>
        </w:drawing>
      </w:r>
    </w:p>
    <w:p w:rsidR="002F0C14" w:rsidRPr="00707839" w:rsidRDefault="002F0C14" w:rsidP="00A47351">
      <w:pPr>
        <w:pStyle w:val="Prrafodelista"/>
        <w:tabs>
          <w:tab w:val="left" w:pos="426"/>
        </w:tabs>
        <w:ind w:left="0"/>
        <w:rPr>
          <w:rFonts w:ascii="Calibri" w:hAnsi="Calibri"/>
          <w:sz w:val="20"/>
          <w:szCs w:val="20"/>
        </w:rPr>
      </w:pPr>
    </w:p>
    <w:p w:rsidR="00A47351" w:rsidRPr="00707839" w:rsidRDefault="00A47351" w:rsidP="002F0C14">
      <w:pPr>
        <w:pStyle w:val="Prrafodelista"/>
        <w:numPr>
          <w:ilvl w:val="2"/>
          <w:numId w:val="38"/>
        </w:numPr>
        <w:tabs>
          <w:tab w:val="left" w:pos="0"/>
          <w:tab w:val="left" w:pos="426"/>
        </w:tabs>
        <w:ind w:left="0" w:firstLine="0"/>
        <w:rPr>
          <w:rFonts w:ascii="Calibri" w:hAnsi="Calibri"/>
          <w:b/>
          <w:sz w:val="20"/>
          <w:szCs w:val="20"/>
        </w:rPr>
      </w:pPr>
      <w:r w:rsidRPr="00707839">
        <w:rPr>
          <w:rFonts w:ascii="Calibri" w:hAnsi="Calibri"/>
          <w:b/>
          <w:sz w:val="20"/>
          <w:szCs w:val="20"/>
        </w:rPr>
        <w:t xml:space="preserve"> Bienes Disponibles para su Transformación o Consumo (inventarios).</w:t>
      </w:r>
    </w:p>
    <w:p w:rsidR="00A47351" w:rsidRPr="00707839" w:rsidRDefault="00A47351" w:rsidP="00A47351">
      <w:pPr>
        <w:pStyle w:val="Prrafodelista"/>
        <w:tabs>
          <w:tab w:val="left" w:pos="426"/>
        </w:tabs>
        <w:ind w:left="0"/>
        <w:rPr>
          <w:rFonts w:ascii="Calibri" w:hAnsi="Calibri"/>
          <w:b/>
          <w:sz w:val="20"/>
          <w:szCs w:val="20"/>
        </w:rPr>
      </w:pPr>
    </w:p>
    <w:p w:rsidR="00A47351" w:rsidRPr="00707839" w:rsidRDefault="00A47351" w:rsidP="00A47351">
      <w:pPr>
        <w:autoSpaceDE w:val="0"/>
        <w:jc w:val="both"/>
        <w:rPr>
          <w:rFonts w:ascii="Calibri" w:hAnsi="Calibri"/>
          <w:sz w:val="20"/>
          <w:szCs w:val="20"/>
        </w:rPr>
      </w:pPr>
      <w:r w:rsidRPr="00707839">
        <w:rPr>
          <w:rFonts w:ascii="Calibri" w:hAnsi="Calibri"/>
          <w:sz w:val="20"/>
          <w:szCs w:val="20"/>
        </w:rPr>
        <w:t>El Fideicomiso Garante de la Orquesta Sinfónica de Yucatán (FIGAROSY) no realiza ningún proceso de trasformación y elaboración de bienes, ya que el objeto principal del FIGAROSY, es la administración e inversión de los recursos para la difusión, preservación, impulso y permanencia de la Orquesta Sinfónica de Yucatán.</w:t>
      </w:r>
    </w:p>
    <w:p w:rsidR="00961643" w:rsidRPr="00707839" w:rsidRDefault="00961643" w:rsidP="00A47351">
      <w:pPr>
        <w:autoSpaceDE w:val="0"/>
        <w:jc w:val="both"/>
        <w:rPr>
          <w:rFonts w:ascii="Calibri" w:hAnsi="Calibri"/>
          <w:sz w:val="20"/>
          <w:szCs w:val="20"/>
        </w:rPr>
      </w:pPr>
    </w:p>
    <w:p w:rsidR="00961643" w:rsidRPr="00707839" w:rsidRDefault="00961643" w:rsidP="00961643">
      <w:pPr>
        <w:pStyle w:val="Prrafodelista"/>
        <w:numPr>
          <w:ilvl w:val="2"/>
          <w:numId w:val="38"/>
        </w:numPr>
        <w:tabs>
          <w:tab w:val="left" w:pos="426"/>
        </w:tabs>
        <w:ind w:left="709" w:hanging="709"/>
        <w:rPr>
          <w:rFonts w:ascii="Calibri" w:hAnsi="Calibri"/>
          <w:b/>
          <w:sz w:val="20"/>
          <w:szCs w:val="20"/>
        </w:rPr>
      </w:pPr>
      <w:r w:rsidRPr="00707839">
        <w:rPr>
          <w:rFonts w:ascii="Calibri" w:hAnsi="Calibri"/>
          <w:b/>
          <w:sz w:val="20"/>
          <w:szCs w:val="20"/>
        </w:rPr>
        <w:t>Inversiones Financieras.</w:t>
      </w:r>
    </w:p>
    <w:p w:rsidR="00961643" w:rsidRPr="00707839" w:rsidRDefault="00961643" w:rsidP="00961643">
      <w:pPr>
        <w:pStyle w:val="Prrafodelista"/>
        <w:tabs>
          <w:tab w:val="left" w:pos="0"/>
          <w:tab w:val="left" w:pos="426"/>
        </w:tabs>
        <w:ind w:left="0"/>
        <w:rPr>
          <w:rFonts w:ascii="Calibri" w:hAnsi="Calibri"/>
          <w:sz w:val="20"/>
          <w:szCs w:val="20"/>
        </w:rPr>
      </w:pPr>
    </w:p>
    <w:p w:rsidR="00961643" w:rsidRPr="00707839" w:rsidRDefault="00961643" w:rsidP="00961643">
      <w:pPr>
        <w:pStyle w:val="Prrafodelista"/>
        <w:tabs>
          <w:tab w:val="left" w:pos="0"/>
          <w:tab w:val="left" w:pos="426"/>
        </w:tabs>
        <w:ind w:left="0"/>
        <w:rPr>
          <w:rFonts w:ascii="Calibri" w:hAnsi="Calibri"/>
          <w:b/>
          <w:sz w:val="20"/>
          <w:szCs w:val="20"/>
        </w:rPr>
      </w:pPr>
      <w:r w:rsidRPr="00707839">
        <w:rPr>
          <w:rFonts w:ascii="Calibri" w:hAnsi="Calibri"/>
          <w:sz w:val="20"/>
          <w:szCs w:val="20"/>
        </w:rPr>
        <w:t>El Fideicomiso Garante de la Orquesta Sinfónica de Yucatán (FIGAROSY), en el período reportado no cuenta con inversiones financieras.</w:t>
      </w:r>
    </w:p>
    <w:p w:rsidR="00A47351" w:rsidRPr="00707839" w:rsidRDefault="00A47351" w:rsidP="00A47351">
      <w:pPr>
        <w:rPr>
          <w:rFonts w:ascii="Calibri" w:hAnsi="Calibri" w:cs="Arial"/>
          <w:bCs/>
          <w:sz w:val="20"/>
          <w:szCs w:val="20"/>
        </w:rPr>
      </w:pPr>
    </w:p>
    <w:p w:rsidR="00A47351" w:rsidRPr="00707839" w:rsidRDefault="00A47351" w:rsidP="00A53CA2">
      <w:pPr>
        <w:pStyle w:val="Prrafodelista"/>
        <w:numPr>
          <w:ilvl w:val="2"/>
          <w:numId w:val="22"/>
        </w:numPr>
        <w:tabs>
          <w:tab w:val="left" w:pos="0"/>
          <w:tab w:val="left" w:pos="426"/>
        </w:tabs>
        <w:rPr>
          <w:rFonts w:ascii="Calibri" w:hAnsi="Calibri"/>
          <w:b/>
          <w:sz w:val="20"/>
          <w:szCs w:val="20"/>
        </w:rPr>
      </w:pPr>
      <w:r w:rsidRPr="00707839">
        <w:rPr>
          <w:rFonts w:ascii="Calibri" w:hAnsi="Calibri"/>
          <w:b/>
          <w:sz w:val="20"/>
          <w:szCs w:val="20"/>
        </w:rPr>
        <w:t xml:space="preserve"> Bienes muebles, Inmuebles e Intangibles</w:t>
      </w:r>
    </w:p>
    <w:p w:rsidR="00A47351" w:rsidRPr="00707839" w:rsidRDefault="00A47351" w:rsidP="00A47351">
      <w:pPr>
        <w:pStyle w:val="Prrafodelista"/>
        <w:tabs>
          <w:tab w:val="left" w:pos="426"/>
        </w:tabs>
        <w:ind w:left="0"/>
        <w:rPr>
          <w:rFonts w:ascii="Calibri" w:hAnsi="Calibri"/>
          <w:sz w:val="20"/>
          <w:szCs w:val="20"/>
        </w:rPr>
      </w:pPr>
    </w:p>
    <w:p w:rsidR="00A47351" w:rsidRPr="00707839" w:rsidRDefault="00A47351" w:rsidP="00A47351">
      <w:pPr>
        <w:pStyle w:val="Prrafodelista"/>
        <w:numPr>
          <w:ilvl w:val="3"/>
          <w:numId w:val="22"/>
        </w:numPr>
        <w:tabs>
          <w:tab w:val="left" w:pos="0"/>
          <w:tab w:val="left" w:pos="284"/>
          <w:tab w:val="left" w:pos="709"/>
        </w:tabs>
        <w:ind w:left="0" w:firstLine="0"/>
        <w:jc w:val="both"/>
        <w:rPr>
          <w:rFonts w:ascii="Calibri" w:hAnsi="Calibri"/>
          <w:sz w:val="20"/>
          <w:szCs w:val="20"/>
        </w:rPr>
      </w:pPr>
      <w:r w:rsidRPr="00707839">
        <w:rPr>
          <w:rFonts w:ascii="Calibri" w:hAnsi="Calibri"/>
          <w:sz w:val="20"/>
          <w:szCs w:val="20"/>
        </w:rPr>
        <w:t>En el rubro de bienes inmuebles, infraestructura y constr</w:t>
      </w:r>
      <w:r w:rsidR="007454E7" w:rsidRPr="00707839">
        <w:rPr>
          <w:rFonts w:ascii="Calibri" w:hAnsi="Calibri"/>
          <w:sz w:val="20"/>
          <w:szCs w:val="20"/>
        </w:rPr>
        <w:t xml:space="preserve">ucción en proceso </w:t>
      </w:r>
      <w:r w:rsidR="00BD2A58" w:rsidRPr="00707839">
        <w:rPr>
          <w:rFonts w:ascii="Calibri" w:hAnsi="Calibri"/>
          <w:sz w:val="20"/>
          <w:szCs w:val="20"/>
        </w:rPr>
        <w:t xml:space="preserve">al </w:t>
      </w:r>
      <w:r w:rsidR="001A2FAC" w:rsidRPr="00707839">
        <w:rPr>
          <w:rFonts w:ascii="Calibri" w:hAnsi="Calibri"/>
          <w:sz w:val="20"/>
          <w:szCs w:val="20"/>
        </w:rPr>
        <w:t>31 de Mayo de 2022</w:t>
      </w:r>
      <w:r w:rsidR="003B1BF6" w:rsidRPr="00707839">
        <w:rPr>
          <w:rFonts w:ascii="Calibri" w:hAnsi="Calibri"/>
          <w:sz w:val="20"/>
          <w:szCs w:val="20"/>
        </w:rPr>
        <w:t>,</w:t>
      </w:r>
      <w:r w:rsidRPr="00707839">
        <w:rPr>
          <w:rFonts w:ascii="Calibri" w:hAnsi="Calibri"/>
          <w:sz w:val="20"/>
          <w:szCs w:val="20"/>
        </w:rPr>
        <w:t xml:space="preserve"> se informa que el FIGAROSY no cuenta en sus registros contables ningún bien inmueble, infraestructura y construcción en proceso.</w:t>
      </w:r>
    </w:p>
    <w:p w:rsidR="00A47351" w:rsidRDefault="00A47351" w:rsidP="00A47351">
      <w:pPr>
        <w:pStyle w:val="Prrafodelista"/>
        <w:tabs>
          <w:tab w:val="left" w:pos="284"/>
        </w:tabs>
        <w:ind w:left="0"/>
        <w:rPr>
          <w:rFonts w:ascii="Calibri" w:hAnsi="Calibri"/>
          <w:sz w:val="20"/>
          <w:szCs w:val="20"/>
        </w:rPr>
      </w:pPr>
    </w:p>
    <w:p w:rsidR="006E7C7C" w:rsidRDefault="006E7C7C" w:rsidP="00A47351">
      <w:pPr>
        <w:pStyle w:val="Prrafodelista"/>
        <w:tabs>
          <w:tab w:val="left" w:pos="284"/>
        </w:tabs>
        <w:ind w:left="0"/>
        <w:rPr>
          <w:rFonts w:ascii="Calibri" w:hAnsi="Calibri"/>
          <w:sz w:val="20"/>
          <w:szCs w:val="20"/>
        </w:rPr>
      </w:pPr>
    </w:p>
    <w:p w:rsidR="006E7C7C" w:rsidRDefault="006E7C7C" w:rsidP="00A47351">
      <w:pPr>
        <w:pStyle w:val="Prrafodelista"/>
        <w:tabs>
          <w:tab w:val="left" w:pos="284"/>
        </w:tabs>
        <w:ind w:left="0"/>
        <w:rPr>
          <w:rFonts w:ascii="Calibri" w:hAnsi="Calibri"/>
          <w:sz w:val="20"/>
          <w:szCs w:val="20"/>
        </w:rPr>
      </w:pPr>
    </w:p>
    <w:p w:rsidR="006E7C7C" w:rsidRDefault="006E7C7C" w:rsidP="00A47351">
      <w:pPr>
        <w:pStyle w:val="Prrafodelista"/>
        <w:tabs>
          <w:tab w:val="left" w:pos="284"/>
        </w:tabs>
        <w:ind w:left="0"/>
        <w:rPr>
          <w:rFonts w:ascii="Calibri" w:hAnsi="Calibri"/>
          <w:sz w:val="20"/>
          <w:szCs w:val="20"/>
        </w:rPr>
      </w:pPr>
    </w:p>
    <w:p w:rsidR="006E7C7C" w:rsidRDefault="006E7C7C" w:rsidP="00A47351">
      <w:pPr>
        <w:pStyle w:val="Prrafodelista"/>
        <w:tabs>
          <w:tab w:val="left" w:pos="284"/>
        </w:tabs>
        <w:ind w:left="0"/>
        <w:rPr>
          <w:rFonts w:ascii="Calibri" w:hAnsi="Calibri"/>
          <w:sz w:val="20"/>
          <w:szCs w:val="20"/>
        </w:rPr>
      </w:pPr>
    </w:p>
    <w:p w:rsidR="006E7C7C" w:rsidRDefault="006E7C7C" w:rsidP="00A47351">
      <w:pPr>
        <w:pStyle w:val="Prrafodelista"/>
        <w:tabs>
          <w:tab w:val="left" w:pos="284"/>
        </w:tabs>
        <w:ind w:left="0"/>
        <w:rPr>
          <w:rFonts w:ascii="Calibri" w:hAnsi="Calibri"/>
          <w:sz w:val="20"/>
          <w:szCs w:val="20"/>
        </w:rPr>
      </w:pPr>
    </w:p>
    <w:p w:rsidR="006E7C7C" w:rsidRPr="00707839" w:rsidRDefault="006E7C7C" w:rsidP="00A47351">
      <w:pPr>
        <w:pStyle w:val="Prrafodelista"/>
        <w:tabs>
          <w:tab w:val="left" w:pos="284"/>
        </w:tabs>
        <w:ind w:left="0"/>
        <w:rPr>
          <w:rFonts w:ascii="Calibri" w:hAnsi="Calibri"/>
          <w:sz w:val="20"/>
          <w:szCs w:val="20"/>
        </w:rPr>
      </w:pPr>
    </w:p>
    <w:p w:rsidR="00A47351" w:rsidRPr="00707839" w:rsidRDefault="00A47351" w:rsidP="00A47351">
      <w:pPr>
        <w:pStyle w:val="Prrafodelista"/>
        <w:tabs>
          <w:tab w:val="left" w:pos="284"/>
        </w:tabs>
        <w:ind w:left="0"/>
        <w:rPr>
          <w:rFonts w:ascii="Calibri" w:hAnsi="Calibri"/>
          <w:sz w:val="20"/>
          <w:szCs w:val="20"/>
        </w:rPr>
      </w:pPr>
      <w:r w:rsidRPr="00707839">
        <w:rPr>
          <w:rFonts w:ascii="Calibri" w:hAnsi="Calibri"/>
          <w:b/>
          <w:sz w:val="20"/>
          <w:szCs w:val="20"/>
        </w:rPr>
        <w:t>1.1.5.2</w:t>
      </w:r>
      <w:r w:rsidRPr="00707839">
        <w:rPr>
          <w:rFonts w:ascii="Calibri" w:hAnsi="Calibri"/>
          <w:sz w:val="20"/>
          <w:szCs w:val="20"/>
        </w:rPr>
        <w:t xml:space="preserve">  El rubro de bienes muebles </w:t>
      </w:r>
      <w:r w:rsidR="00BD2A58" w:rsidRPr="00707839">
        <w:rPr>
          <w:rFonts w:ascii="Calibri" w:hAnsi="Calibri"/>
          <w:sz w:val="20"/>
          <w:szCs w:val="20"/>
        </w:rPr>
        <w:t xml:space="preserve">al </w:t>
      </w:r>
      <w:r w:rsidR="001A2FAC" w:rsidRPr="00707839">
        <w:rPr>
          <w:rFonts w:ascii="Calibri" w:hAnsi="Calibri"/>
          <w:sz w:val="20"/>
          <w:szCs w:val="20"/>
        </w:rPr>
        <w:t>31 de Mayo de 2022</w:t>
      </w:r>
      <w:r w:rsidR="003B1BF6" w:rsidRPr="00707839">
        <w:rPr>
          <w:rFonts w:ascii="Calibri" w:hAnsi="Calibri"/>
          <w:sz w:val="20"/>
          <w:szCs w:val="20"/>
        </w:rPr>
        <w:t>,</w:t>
      </w:r>
      <w:r w:rsidRPr="00707839">
        <w:rPr>
          <w:rFonts w:ascii="Calibri" w:hAnsi="Calibri"/>
          <w:sz w:val="20"/>
          <w:szCs w:val="20"/>
        </w:rPr>
        <w:t xml:space="preserve"> se encuentra integrado de la siguiente manera:</w:t>
      </w:r>
    </w:p>
    <w:p w:rsidR="00A47351" w:rsidRPr="00707839" w:rsidRDefault="00A47351" w:rsidP="00A47351">
      <w:pPr>
        <w:pStyle w:val="Prrafodelista"/>
        <w:tabs>
          <w:tab w:val="left" w:pos="426"/>
        </w:tabs>
        <w:ind w:left="0"/>
        <w:rPr>
          <w:rFonts w:ascii="Calibri" w:hAnsi="Calibri"/>
          <w:sz w:val="20"/>
          <w:szCs w:val="20"/>
        </w:rPr>
      </w:pPr>
    </w:p>
    <w:p w:rsidR="008F3F6C" w:rsidRPr="00707839" w:rsidRDefault="008F3F6C" w:rsidP="008749CD">
      <w:pPr>
        <w:pStyle w:val="Prrafodelista"/>
        <w:tabs>
          <w:tab w:val="left" w:pos="426"/>
        </w:tabs>
        <w:ind w:left="0"/>
        <w:rPr>
          <w:rFonts w:ascii="Calibri" w:hAnsi="Calibri"/>
          <w:sz w:val="20"/>
          <w:szCs w:val="20"/>
        </w:rPr>
      </w:pPr>
    </w:p>
    <w:p w:rsidR="00B55026" w:rsidRPr="00707839" w:rsidRDefault="00B55026" w:rsidP="00CE2F1B">
      <w:pPr>
        <w:pStyle w:val="Prrafodelista"/>
        <w:tabs>
          <w:tab w:val="left" w:pos="426"/>
        </w:tabs>
        <w:ind w:left="0"/>
        <w:jc w:val="center"/>
        <w:rPr>
          <w:rFonts w:ascii="Calibri" w:hAnsi="Calibri"/>
          <w:sz w:val="20"/>
          <w:szCs w:val="20"/>
        </w:rPr>
      </w:pPr>
    </w:p>
    <w:p w:rsidR="00B55026" w:rsidRPr="00707839" w:rsidRDefault="005423DA" w:rsidP="005423DA">
      <w:pPr>
        <w:pStyle w:val="Prrafodelista"/>
        <w:tabs>
          <w:tab w:val="left" w:pos="426"/>
        </w:tabs>
        <w:ind w:left="0"/>
        <w:jc w:val="center"/>
        <w:rPr>
          <w:rFonts w:ascii="Calibri" w:hAnsi="Calibri"/>
          <w:sz w:val="20"/>
          <w:szCs w:val="20"/>
        </w:rPr>
      </w:pPr>
      <w:r w:rsidRPr="00707839">
        <w:rPr>
          <w:noProof/>
          <w:lang w:eastAsia="es-MX"/>
        </w:rPr>
        <w:lastRenderedPageBreak/>
        <w:drawing>
          <wp:inline distT="0" distB="0" distL="0" distR="0">
            <wp:extent cx="6743700" cy="11525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43700" cy="1152525"/>
                    </a:xfrm>
                    <a:prstGeom prst="rect">
                      <a:avLst/>
                    </a:prstGeom>
                    <a:noFill/>
                    <a:ln>
                      <a:noFill/>
                    </a:ln>
                  </pic:spPr>
                </pic:pic>
              </a:graphicData>
            </a:graphic>
          </wp:inline>
        </w:drawing>
      </w:r>
    </w:p>
    <w:p w:rsidR="00B55026" w:rsidRPr="00707839" w:rsidRDefault="00B55026" w:rsidP="00AF677B">
      <w:pPr>
        <w:pStyle w:val="Prrafodelista"/>
        <w:tabs>
          <w:tab w:val="left" w:pos="426"/>
        </w:tabs>
        <w:ind w:left="0"/>
        <w:jc w:val="center"/>
        <w:rPr>
          <w:rFonts w:ascii="Calibri" w:hAnsi="Calibri"/>
          <w:sz w:val="20"/>
          <w:szCs w:val="20"/>
        </w:rPr>
      </w:pPr>
    </w:p>
    <w:p w:rsidR="00072CD0" w:rsidRPr="00707839" w:rsidRDefault="00072CD0" w:rsidP="00A47351">
      <w:pPr>
        <w:pStyle w:val="Prrafodelista"/>
        <w:tabs>
          <w:tab w:val="left" w:pos="426"/>
        </w:tabs>
        <w:ind w:left="0"/>
        <w:rPr>
          <w:rFonts w:ascii="Calibri" w:hAnsi="Calibri"/>
          <w:sz w:val="20"/>
          <w:szCs w:val="20"/>
        </w:rPr>
      </w:pPr>
    </w:p>
    <w:p w:rsidR="00C243D7" w:rsidRPr="00707839" w:rsidRDefault="00C243D7" w:rsidP="00A47351">
      <w:pPr>
        <w:pStyle w:val="Prrafodelista"/>
        <w:tabs>
          <w:tab w:val="left" w:pos="426"/>
        </w:tabs>
        <w:ind w:left="0"/>
        <w:rPr>
          <w:rFonts w:ascii="Calibri" w:hAnsi="Calibri"/>
          <w:sz w:val="20"/>
          <w:szCs w:val="20"/>
        </w:rPr>
      </w:pPr>
    </w:p>
    <w:p w:rsidR="00A47351" w:rsidRPr="00707839" w:rsidRDefault="00A47351" w:rsidP="00A47351">
      <w:pPr>
        <w:pStyle w:val="Prrafodelista"/>
        <w:tabs>
          <w:tab w:val="left" w:pos="426"/>
        </w:tabs>
        <w:ind w:left="0"/>
        <w:rPr>
          <w:rFonts w:ascii="Calibri" w:hAnsi="Calibri"/>
          <w:sz w:val="20"/>
          <w:szCs w:val="20"/>
        </w:rPr>
      </w:pPr>
      <w:r w:rsidRPr="00707839">
        <w:rPr>
          <w:rFonts w:ascii="Calibri" w:hAnsi="Calibri"/>
          <w:b/>
          <w:sz w:val="20"/>
          <w:szCs w:val="20"/>
        </w:rPr>
        <w:t>1.1.5.2.1</w:t>
      </w:r>
      <w:r w:rsidRPr="00707839">
        <w:rPr>
          <w:rFonts w:ascii="Calibri" w:hAnsi="Calibri"/>
          <w:sz w:val="20"/>
          <w:szCs w:val="20"/>
        </w:rPr>
        <w:t xml:space="preserve"> La cuenta de mobiliario y equipo de administración se integra de la siguiente manera:</w:t>
      </w:r>
    </w:p>
    <w:p w:rsidR="00B55026" w:rsidRPr="00707839" w:rsidRDefault="00B55026" w:rsidP="00A47351">
      <w:pPr>
        <w:pStyle w:val="Prrafodelista"/>
        <w:tabs>
          <w:tab w:val="left" w:pos="426"/>
        </w:tabs>
        <w:ind w:left="0"/>
        <w:rPr>
          <w:rFonts w:ascii="Calibri" w:hAnsi="Calibri"/>
          <w:sz w:val="20"/>
          <w:szCs w:val="20"/>
        </w:rPr>
      </w:pPr>
    </w:p>
    <w:p w:rsidR="00CE2F1B" w:rsidRPr="00707839" w:rsidRDefault="00CE2F1B" w:rsidP="00A47351">
      <w:pPr>
        <w:pStyle w:val="Prrafodelista"/>
        <w:tabs>
          <w:tab w:val="left" w:pos="426"/>
        </w:tabs>
        <w:ind w:left="0"/>
        <w:rPr>
          <w:rFonts w:ascii="Calibri" w:hAnsi="Calibri"/>
          <w:sz w:val="20"/>
          <w:szCs w:val="20"/>
        </w:rPr>
      </w:pPr>
    </w:p>
    <w:p w:rsidR="00CE2F1B" w:rsidRPr="00707839" w:rsidRDefault="005423DA" w:rsidP="00AF677B">
      <w:pPr>
        <w:pStyle w:val="Prrafodelista"/>
        <w:tabs>
          <w:tab w:val="left" w:pos="426"/>
        </w:tabs>
        <w:ind w:left="0"/>
        <w:jc w:val="center"/>
        <w:rPr>
          <w:rFonts w:ascii="Calibri" w:hAnsi="Calibri"/>
          <w:sz w:val="20"/>
          <w:szCs w:val="20"/>
        </w:rPr>
      </w:pPr>
      <w:r w:rsidRPr="00707839">
        <w:rPr>
          <w:noProof/>
          <w:lang w:eastAsia="es-MX"/>
        </w:rPr>
        <w:drawing>
          <wp:inline distT="0" distB="0" distL="0" distR="0">
            <wp:extent cx="6905625" cy="1485900"/>
            <wp:effectExtent l="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05625" cy="1485900"/>
                    </a:xfrm>
                    <a:prstGeom prst="rect">
                      <a:avLst/>
                    </a:prstGeom>
                    <a:noFill/>
                    <a:ln>
                      <a:noFill/>
                    </a:ln>
                  </pic:spPr>
                </pic:pic>
              </a:graphicData>
            </a:graphic>
          </wp:inline>
        </w:drawing>
      </w:r>
    </w:p>
    <w:p w:rsidR="00501BE4" w:rsidRPr="00707839" w:rsidRDefault="00501BE4" w:rsidP="00A47351">
      <w:pPr>
        <w:rPr>
          <w:rFonts w:ascii="Calibri" w:hAnsi="Calibri"/>
          <w:sz w:val="20"/>
          <w:szCs w:val="20"/>
        </w:rPr>
      </w:pPr>
    </w:p>
    <w:p w:rsidR="005D25E4" w:rsidRPr="00707839" w:rsidRDefault="00FD6725" w:rsidP="00A47351">
      <w:pPr>
        <w:pStyle w:val="Textoindependiente"/>
        <w:rPr>
          <w:rFonts w:ascii="Calibri" w:hAnsi="Calibri"/>
          <w:bCs w:val="0"/>
          <w:sz w:val="20"/>
          <w:szCs w:val="20"/>
        </w:rPr>
      </w:pPr>
      <w:r w:rsidRPr="00707839">
        <w:rPr>
          <w:rFonts w:ascii="Calibri" w:hAnsi="Calibri"/>
          <w:bCs w:val="0"/>
          <w:sz w:val="20"/>
          <w:szCs w:val="20"/>
        </w:rPr>
        <w:t>D</w:t>
      </w:r>
      <w:r w:rsidR="00954F03" w:rsidRPr="00707839">
        <w:rPr>
          <w:rFonts w:ascii="Calibri" w:hAnsi="Calibri"/>
          <w:bCs w:val="0"/>
          <w:sz w:val="20"/>
          <w:szCs w:val="20"/>
        </w:rPr>
        <w:t xml:space="preserve">urante el período del 1 al </w:t>
      </w:r>
      <w:r w:rsidR="00AF1ACC" w:rsidRPr="00707839">
        <w:rPr>
          <w:rFonts w:ascii="Calibri" w:hAnsi="Calibri"/>
          <w:bCs w:val="0"/>
          <w:sz w:val="20"/>
          <w:szCs w:val="20"/>
        </w:rPr>
        <w:t>3</w:t>
      </w:r>
      <w:r w:rsidR="001A2FAC" w:rsidRPr="00707839">
        <w:rPr>
          <w:rFonts w:ascii="Calibri" w:hAnsi="Calibri"/>
          <w:bCs w:val="0"/>
          <w:sz w:val="20"/>
          <w:szCs w:val="20"/>
        </w:rPr>
        <w:t>1</w:t>
      </w:r>
      <w:r w:rsidR="00954F03" w:rsidRPr="00707839">
        <w:rPr>
          <w:rFonts w:ascii="Calibri" w:hAnsi="Calibri"/>
          <w:sz w:val="20"/>
          <w:szCs w:val="20"/>
        </w:rPr>
        <w:t xml:space="preserve"> de </w:t>
      </w:r>
      <w:r w:rsidR="001A2FAC" w:rsidRPr="00707839">
        <w:rPr>
          <w:rFonts w:ascii="Calibri" w:hAnsi="Calibri"/>
          <w:sz w:val="20"/>
          <w:szCs w:val="20"/>
        </w:rPr>
        <w:t>mayo</w:t>
      </w:r>
      <w:r w:rsidR="00551ED7" w:rsidRPr="00707839">
        <w:rPr>
          <w:rFonts w:ascii="Calibri" w:hAnsi="Calibri"/>
          <w:sz w:val="20"/>
          <w:szCs w:val="20"/>
        </w:rPr>
        <w:t xml:space="preserve"> </w:t>
      </w:r>
      <w:r w:rsidR="00954F03" w:rsidRPr="00707839">
        <w:rPr>
          <w:rFonts w:ascii="Calibri" w:hAnsi="Calibri"/>
          <w:bCs w:val="0"/>
          <w:sz w:val="20"/>
          <w:szCs w:val="20"/>
        </w:rPr>
        <w:t>del</w:t>
      </w:r>
      <w:r w:rsidR="00551ED7" w:rsidRPr="00707839">
        <w:rPr>
          <w:rFonts w:ascii="Calibri" w:hAnsi="Calibri"/>
          <w:bCs w:val="0"/>
          <w:sz w:val="20"/>
          <w:szCs w:val="20"/>
        </w:rPr>
        <w:t xml:space="preserve"> 2022</w:t>
      </w:r>
      <w:r w:rsidR="00954F03" w:rsidRPr="00707839">
        <w:rPr>
          <w:rFonts w:ascii="Calibri" w:hAnsi="Calibri"/>
          <w:bCs w:val="0"/>
          <w:sz w:val="20"/>
          <w:szCs w:val="20"/>
        </w:rPr>
        <w:t>,</w:t>
      </w:r>
      <w:r w:rsidR="00551ED7" w:rsidRPr="00707839">
        <w:rPr>
          <w:rFonts w:ascii="Calibri" w:hAnsi="Calibri"/>
          <w:bCs w:val="0"/>
          <w:sz w:val="20"/>
          <w:szCs w:val="20"/>
        </w:rPr>
        <w:t xml:space="preserve"> </w:t>
      </w:r>
      <w:r w:rsidR="00A84DEC" w:rsidRPr="00707839">
        <w:rPr>
          <w:rFonts w:ascii="Calibri" w:hAnsi="Calibri"/>
          <w:bCs w:val="0"/>
          <w:sz w:val="20"/>
          <w:szCs w:val="20"/>
        </w:rPr>
        <w:t>no se realizaron adquisiciones.</w:t>
      </w:r>
    </w:p>
    <w:p w:rsidR="005D25E4" w:rsidRPr="00707839" w:rsidRDefault="005D25E4" w:rsidP="005D25E4">
      <w:pPr>
        <w:pStyle w:val="Textoindependiente"/>
        <w:jc w:val="center"/>
        <w:rPr>
          <w:rFonts w:ascii="Calibri" w:hAnsi="Calibri"/>
          <w:bCs w:val="0"/>
          <w:sz w:val="20"/>
          <w:szCs w:val="20"/>
        </w:rPr>
      </w:pPr>
    </w:p>
    <w:p w:rsidR="00A47351" w:rsidRPr="00707839" w:rsidRDefault="00A47351" w:rsidP="00A47351">
      <w:pPr>
        <w:pStyle w:val="Prrafodelista"/>
        <w:numPr>
          <w:ilvl w:val="4"/>
          <w:numId w:val="43"/>
        </w:numPr>
        <w:tabs>
          <w:tab w:val="left" w:pos="426"/>
          <w:tab w:val="left" w:pos="851"/>
        </w:tabs>
        <w:ind w:left="0" w:firstLine="0"/>
        <w:jc w:val="both"/>
        <w:rPr>
          <w:rFonts w:ascii="Calibri" w:hAnsi="Calibri"/>
          <w:sz w:val="20"/>
          <w:szCs w:val="20"/>
        </w:rPr>
      </w:pPr>
      <w:r w:rsidRPr="00707839">
        <w:rPr>
          <w:rFonts w:ascii="Calibri" w:hAnsi="Calibri"/>
          <w:sz w:val="20"/>
          <w:szCs w:val="20"/>
        </w:rPr>
        <w:t xml:space="preserve">La cuenta de maquinaria, otros equipos y herramientas, agrupa herramientas menores que utiliza el personal operativo del FIGAROSY, y </w:t>
      </w:r>
      <w:r w:rsidR="00BD2A58" w:rsidRPr="00707839">
        <w:rPr>
          <w:rFonts w:ascii="Calibri" w:hAnsi="Calibri"/>
          <w:sz w:val="20"/>
          <w:szCs w:val="20"/>
        </w:rPr>
        <w:t xml:space="preserve">al </w:t>
      </w:r>
      <w:r w:rsidR="001A2FAC" w:rsidRPr="00707839">
        <w:rPr>
          <w:rFonts w:ascii="Calibri" w:hAnsi="Calibri"/>
          <w:sz w:val="20"/>
          <w:szCs w:val="20"/>
        </w:rPr>
        <w:t>31 de Mayo de 2022</w:t>
      </w:r>
      <w:r w:rsidR="003B1BF6" w:rsidRPr="00707839">
        <w:rPr>
          <w:rFonts w:ascii="Calibri" w:hAnsi="Calibri"/>
          <w:sz w:val="20"/>
          <w:szCs w:val="20"/>
        </w:rPr>
        <w:t>,</w:t>
      </w:r>
      <w:r w:rsidRPr="00707839">
        <w:rPr>
          <w:rFonts w:ascii="Calibri" w:hAnsi="Calibri"/>
          <w:sz w:val="20"/>
          <w:szCs w:val="20"/>
        </w:rPr>
        <w:t xml:space="preserve"> acumula un total de $ 1,680.00.  </w:t>
      </w:r>
    </w:p>
    <w:p w:rsidR="00A47351" w:rsidRPr="00707839" w:rsidRDefault="00A47351" w:rsidP="00A47351">
      <w:pPr>
        <w:pStyle w:val="Prrafodelista"/>
        <w:tabs>
          <w:tab w:val="left" w:pos="0"/>
          <w:tab w:val="left" w:pos="284"/>
          <w:tab w:val="left" w:pos="709"/>
        </w:tabs>
        <w:ind w:left="0"/>
        <w:jc w:val="both"/>
        <w:rPr>
          <w:rFonts w:ascii="Calibri" w:hAnsi="Calibri"/>
          <w:sz w:val="20"/>
          <w:szCs w:val="20"/>
        </w:rPr>
      </w:pPr>
    </w:p>
    <w:p w:rsidR="00A47351" w:rsidRPr="00707839" w:rsidRDefault="0085220D" w:rsidP="00A47351">
      <w:pPr>
        <w:pStyle w:val="Prrafodelista"/>
        <w:numPr>
          <w:ilvl w:val="3"/>
          <w:numId w:val="43"/>
        </w:numPr>
        <w:tabs>
          <w:tab w:val="left" w:pos="0"/>
          <w:tab w:val="left" w:pos="284"/>
          <w:tab w:val="left" w:pos="709"/>
        </w:tabs>
        <w:ind w:left="0" w:firstLine="0"/>
        <w:jc w:val="both"/>
        <w:rPr>
          <w:rFonts w:ascii="Calibri" w:hAnsi="Calibri"/>
          <w:sz w:val="20"/>
          <w:szCs w:val="20"/>
        </w:rPr>
      </w:pPr>
      <w:r w:rsidRPr="00707839">
        <w:rPr>
          <w:rFonts w:ascii="Calibri" w:hAnsi="Calibri"/>
          <w:sz w:val="20"/>
          <w:szCs w:val="20"/>
        </w:rPr>
        <w:t xml:space="preserve">En la cuenta de activos intangibles, se encuentra la subcuenta de software que registra la adquisición de un sistema de control de asistencia para el personal adscrito al FIGAROSY, adquirido en el ejercicio 2010, por un importe de $ 9,907.24; la adquisición un software administrativo, adquirido en el ejercicio 20211, por un importe de $ 11,995.56; la adquisición de una herramienta de Solución Integral Administrativa, que incluye los módulos de presupuestos, indicadores, bienes de consumo, control de activos fijos, reportes financieros y cuentas por pagar, adquirido en el ejercicio 2011 por un importe de $ 139,200.00; la adquisición del programa para la emisión de comprobantes fiscales digitales del Fideicomiso Garante de la Orquesta Sinfónica de Yucatán, adquirido en el ejercicio 2012 por un importe de $ 5,788.40; la adquisición de un sistema de cuentas por pagar, adquirido en el ejercicio 2013 por un importe de $ 11,600.00; la adquisición de un sistema de control de adquisiciones, adquirido en el ejercicio 2013 por un importe de $ 11,600.00 la adquisición de un sistema de control presupuestal y contable acorde a los lineamientos de la Ley General de Contabilidad Gubernamental y el Consejo Nacional de Armonización Contable, adquirido en el ejercicio 2014 por un importe de $ 25,000.00; la </w:t>
      </w:r>
      <w:r w:rsidRPr="00707839">
        <w:rPr>
          <w:rFonts w:ascii="Calibri" w:hAnsi="Calibri"/>
          <w:sz w:val="20"/>
          <w:szCs w:val="20"/>
        </w:rPr>
        <w:lastRenderedPageBreak/>
        <w:t xml:space="preserve">adquisición de un software de </w:t>
      </w:r>
      <w:proofErr w:type="spellStart"/>
      <w:r w:rsidRPr="00707839">
        <w:rPr>
          <w:rFonts w:ascii="Calibri" w:hAnsi="Calibri"/>
          <w:sz w:val="20"/>
          <w:szCs w:val="20"/>
        </w:rPr>
        <w:t>kiosko</w:t>
      </w:r>
      <w:proofErr w:type="spellEnd"/>
      <w:r w:rsidRPr="00707839">
        <w:rPr>
          <w:rFonts w:ascii="Calibri" w:hAnsi="Calibri"/>
          <w:sz w:val="20"/>
          <w:szCs w:val="20"/>
        </w:rPr>
        <w:t xml:space="preserve"> para promoción de los conciertos, adquirido en el 2016, por un importe de $25,823.57; la adquisición de un programa de </w:t>
      </w:r>
      <w:proofErr w:type="spellStart"/>
      <w:r w:rsidRPr="00707839">
        <w:rPr>
          <w:rFonts w:ascii="Calibri" w:hAnsi="Calibri"/>
          <w:sz w:val="20"/>
          <w:szCs w:val="20"/>
        </w:rPr>
        <w:t>mapping</w:t>
      </w:r>
      <w:proofErr w:type="spellEnd"/>
      <w:r w:rsidRPr="00707839">
        <w:rPr>
          <w:rFonts w:ascii="Calibri" w:hAnsi="Calibri"/>
          <w:sz w:val="20"/>
          <w:szCs w:val="20"/>
        </w:rPr>
        <w:t xml:space="preserve"> interactivo para difusión de eventos de la Orquesta Sinfónica de Yucatán, adquirido en el mes de agosto de 2016 por $ 11,600.00; la adquisición del software del sistema de venta de localidades de la Orquesta Sinfónica de Yucatán, adquirido en el mes de julio del 2018, la adquisición de, por la cantidad de $ 179,800.00 . Estas adquisiciones hacen un total de $ 432,314.77</w:t>
      </w:r>
      <w:r w:rsidR="00A47351" w:rsidRPr="00707839">
        <w:rPr>
          <w:rFonts w:ascii="Calibri" w:hAnsi="Calibri"/>
          <w:sz w:val="20"/>
          <w:szCs w:val="20"/>
        </w:rPr>
        <w:t>.</w:t>
      </w:r>
    </w:p>
    <w:p w:rsidR="00A47351" w:rsidRPr="00707839" w:rsidRDefault="00A47351" w:rsidP="00A47351">
      <w:pPr>
        <w:pStyle w:val="Prrafodelista"/>
        <w:tabs>
          <w:tab w:val="left" w:pos="0"/>
          <w:tab w:val="left" w:pos="284"/>
          <w:tab w:val="left" w:pos="709"/>
        </w:tabs>
        <w:ind w:left="0"/>
        <w:jc w:val="both"/>
        <w:rPr>
          <w:rFonts w:ascii="Calibri" w:hAnsi="Calibri"/>
          <w:sz w:val="20"/>
          <w:szCs w:val="20"/>
        </w:rPr>
      </w:pPr>
    </w:p>
    <w:p w:rsidR="00A47351" w:rsidRPr="00707839" w:rsidRDefault="00A47351" w:rsidP="00A47351">
      <w:pPr>
        <w:pStyle w:val="Prrafodelista"/>
        <w:numPr>
          <w:ilvl w:val="3"/>
          <w:numId w:val="43"/>
        </w:numPr>
        <w:tabs>
          <w:tab w:val="left" w:pos="284"/>
        </w:tabs>
        <w:ind w:left="0" w:firstLine="0"/>
        <w:jc w:val="both"/>
        <w:rPr>
          <w:rFonts w:ascii="Calibri" w:hAnsi="Calibri"/>
          <w:sz w:val="20"/>
          <w:szCs w:val="20"/>
        </w:rPr>
      </w:pPr>
      <w:r w:rsidRPr="00707839">
        <w:rPr>
          <w:rFonts w:ascii="Calibri" w:hAnsi="Calibri"/>
          <w:sz w:val="20"/>
          <w:szCs w:val="20"/>
        </w:rPr>
        <w:t>El rubro de depreciación, deterioro y amortización ac</w:t>
      </w:r>
      <w:r w:rsidR="00F15EFD" w:rsidRPr="00707839">
        <w:rPr>
          <w:rFonts w:ascii="Calibri" w:hAnsi="Calibri"/>
          <w:sz w:val="20"/>
          <w:szCs w:val="20"/>
        </w:rPr>
        <w:t xml:space="preserve">umulada de bienes </w:t>
      </w:r>
      <w:r w:rsidR="00BD2A58" w:rsidRPr="00707839">
        <w:rPr>
          <w:rFonts w:ascii="Calibri" w:hAnsi="Calibri"/>
          <w:sz w:val="20"/>
          <w:szCs w:val="20"/>
        </w:rPr>
        <w:t xml:space="preserve">al </w:t>
      </w:r>
      <w:r w:rsidR="001A2FAC" w:rsidRPr="00707839">
        <w:rPr>
          <w:rFonts w:ascii="Calibri" w:hAnsi="Calibri"/>
          <w:sz w:val="20"/>
          <w:szCs w:val="20"/>
        </w:rPr>
        <w:t>31 de Mayo de 2022</w:t>
      </w:r>
      <w:r w:rsidRPr="00707839">
        <w:rPr>
          <w:rFonts w:ascii="Calibri" w:hAnsi="Calibri"/>
          <w:sz w:val="20"/>
          <w:szCs w:val="20"/>
        </w:rPr>
        <w:t>, se encuentra integrado de la siguiente manera:</w:t>
      </w:r>
    </w:p>
    <w:p w:rsidR="00CE2F1B" w:rsidRPr="00707839" w:rsidRDefault="00CE2F1B" w:rsidP="00CE2F1B">
      <w:pPr>
        <w:pStyle w:val="Prrafodelista"/>
        <w:rPr>
          <w:rFonts w:ascii="Calibri" w:hAnsi="Calibri"/>
          <w:sz w:val="20"/>
          <w:szCs w:val="20"/>
        </w:rPr>
      </w:pPr>
    </w:p>
    <w:p w:rsidR="00CE2F1B" w:rsidRPr="00707839" w:rsidRDefault="005423DA" w:rsidP="005423DA">
      <w:pPr>
        <w:pStyle w:val="Prrafodelista"/>
        <w:tabs>
          <w:tab w:val="left" w:pos="284"/>
        </w:tabs>
        <w:ind w:left="0"/>
        <w:jc w:val="center"/>
        <w:rPr>
          <w:rFonts w:ascii="Calibri" w:hAnsi="Calibri"/>
          <w:sz w:val="20"/>
          <w:szCs w:val="20"/>
        </w:rPr>
      </w:pPr>
      <w:r w:rsidRPr="00707839">
        <w:rPr>
          <w:noProof/>
          <w:lang w:eastAsia="es-MX"/>
        </w:rPr>
        <w:drawing>
          <wp:inline distT="0" distB="0" distL="0" distR="0">
            <wp:extent cx="6743700" cy="11049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43700" cy="1104900"/>
                    </a:xfrm>
                    <a:prstGeom prst="rect">
                      <a:avLst/>
                    </a:prstGeom>
                    <a:noFill/>
                    <a:ln>
                      <a:noFill/>
                    </a:ln>
                  </pic:spPr>
                </pic:pic>
              </a:graphicData>
            </a:graphic>
          </wp:inline>
        </w:drawing>
      </w:r>
    </w:p>
    <w:p w:rsidR="00B55026" w:rsidRPr="00707839" w:rsidRDefault="00B55026" w:rsidP="00A47351">
      <w:pPr>
        <w:tabs>
          <w:tab w:val="left" w:pos="284"/>
        </w:tabs>
        <w:rPr>
          <w:rFonts w:ascii="Calibri" w:hAnsi="Calibri"/>
          <w:sz w:val="20"/>
          <w:szCs w:val="20"/>
        </w:rPr>
      </w:pPr>
    </w:p>
    <w:p w:rsidR="00A47351" w:rsidRPr="00707839" w:rsidRDefault="00A47351" w:rsidP="00A47351">
      <w:pPr>
        <w:pStyle w:val="Prrafodelista"/>
        <w:tabs>
          <w:tab w:val="left" w:pos="426"/>
        </w:tabs>
        <w:ind w:left="0"/>
        <w:jc w:val="both"/>
        <w:rPr>
          <w:rFonts w:ascii="Calibri" w:hAnsi="Calibri"/>
          <w:sz w:val="20"/>
          <w:szCs w:val="20"/>
        </w:rPr>
      </w:pPr>
      <w:r w:rsidRPr="00707839">
        <w:rPr>
          <w:rFonts w:ascii="Calibri" w:hAnsi="Calibri"/>
          <w:b/>
          <w:sz w:val="20"/>
          <w:szCs w:val="20"/>
        </w:rPr>
        <w:t>1.1.5.4.1</w:t>
      </w:r>
      <w:r w:rsidRPr="00707839">
        <w:rPr>
          <w:rFonts w:ascii="Calibri" w:hAnsi="Calibri"/>
          <w:sz w:val="20"/>
          <w:szCs w:val="20"/>
        </w:rPr>
        <w:t xml:space="preserve"> La depreciación es la distribución sistemática del costo de adquisición de un activo a lo largo de su vida útil, conforme el Acuerdo por el que se emiten las Reglas Específicas del Registro y Valoración del Patrimonio emitidas por el Consejo Nacional de Armonización Contable y publicadas en el Diario Oficial del Estado de Yucatán el 10 de Enero de 2012. </w:t>
      </w:r>
    </w:p>
    <w:p w:rsidR="00A47351" w:rsidRPr="00707839" w:rsidRDefault="00A47351" w:rsidP="00A47351">
      <w:pPr>
        <w:pStyle w:val="Prrafodelista"/>
        <w:tabs>
          <w:tab w:val="left" w:pos="426"/>
        </w:tabs>
        <w:ind w:left="0"/>
        <w:jc w:val="both"/>
        <w:rPr>
          <w:rFonts w:ascii="Calibri" w:hAnsi="Calibri"/>
          <w:sz w:val="20"/>
          <w:szCs w:val="20"/>
        </w:rPr>
      </w:pPr>
    </w:p>
    <w:p w:rsidR="00A47351" w:rsidRPr="00707839" w:rsidRDefault="00A47351" w:rsidP="00A47351">
      <w:pPr>
        <w:pStyle w:val="Prrafodelista"/>
        <w:tabs>
          <w:tab w:val="left" w:pos="426"/>
        </w:tabs>
        <w:ind w:left="0"/>
        <w:jc w:val="both"/>
        <w:rPr>
          <w:rFonts w:ascii="Calibri" w:hAnsi="Calibri"/>
          <w:sz w:val="20"/>
          <w:szCs w:val="20"/>
        </w:rPr>
      </w:pPr>
      <w:r w:rsidRPr="00707839">
        <w:rPr>
          <w:rFonts w:ascii="Calibri" w:hAnsi="Calibri"/>
          <w:sz w:val="20"/>
          <w:szCs w:val="20"/>
        </w:rPr>
        <w:t>A continuación, se enlista los años de vida útil y los porcentajes de depreciación anual aplicados en los siguientes rubros de bienes muebles:</w:t>
      </w:r>
    </w:p>
    <w:p w:rsidR="00BC5288" w:rsidRPr="00707839" w:rsidRDefault="00BC5288" w:rsidP="00A47351">
      <w:pPr>
        <w:pStyle w:val="Prrafodelista"/>
        <w:tabs>
          <w:tab w:val="left" w:pos="426"/>
        </w:tabs>
        <w:ind w:left="0"/>
        <w:jc w:val="both"/>
        <w:rPr>
          <w:rFonts w:ascii="Calibri" w:hAnsi="Calibri"/>
          <w:sz w:val="20"/>
          <w:szCs w:val="20"/>
        </w:rPr>
      </w:pPr>
    </w:p>
    <w:p w:rsidR="00BC5288" w:rsidRPr="00707839" w:rsidRDefault="00BC5288" w:rsidP="00FD6F05">
      <w:pPr>
        <w:pStyle w:val="Prrafodelista"/>
        <w:tabs>
          <w:tab w:val="left" w:pos="426"/>
        </w:tabs>
        <w:ind w:left="0"/>
        <w:jc w:val="center"/>
        <w:rPr>
          <w:rFonts w:ascii="Calibri" w:hAnsi="Calibri"/>
          <w:sz w:val="20"/>
          <w:szCs w:val="20"/>
        </w:rPr>
      </w:pPr>
    </w:p>
    <w:p w:rsidR="00A10C25" w:rsidRPr="00707839" w:rsidRDefault="005423DA" w:rsidP="005423DA">
      <w:pPr>
        <w:pStyle w:val="Prrafodelista"/>
        <w:tabs>
          <w:tab w:val="left" w:pos="426"/>
        </w:tabs>
        <w:ind w:left="0"/>
        <w:jc w:val="center"/>
        <w:rPr>
          <w:rFonts w:ascii="Calibri" w:hAnsi="Calibri"/>
          <w:sz w:val="20"/>
          <w:szCs w:val="20"/>
        </w:rPr>
      </w:pPr>
      <w:r w:rsidRPr="00707839">
        <w:rPr>
          <w:noProof/>
          <w:lang w:eastAsia="es-MX"/>
        </w:rPr>
        <w:drawing>
          <wp:inline distT="0" distB="0" distL="0" distR="0">
            <wp:extent cx="5781675" cy="115252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81675" cy="1152525"/>
                    </a:xfrm>
                    <a:prstGeom prst="rect">
                      <a:avLst/>
                    </a:prstGeom>
                    <a:noFill/>
                    <a:ln>
                      <a:noFill/>
                    </a:ln>
                  </pic:spPr>
                </pic:pic>
              </a:graphicData>
            </a:graphic>
          </wp:inline>
        </w:drawing>
      </w:r>
    </w:p>
    <w:p w:rsidR="005423DA" w:rsidRDefault="005423DA" w:rsidP="005423DA">
      <w:pPr>
        <w:pStyle w:val="Prrafodelista"/>
        <w:tabs>
          <w:tab w:val="left" w:pos="426"/>
        </w:tabs>
        <w:ind w:left="0"/>
        <w:jc w:val="center"/>
        <w:rPr>
          <w:rFonts w:ascii="Calibri" w:hAnsi="Calibri"/>
          <w:sz w:val="20"/>
          <w:szCs w:val="20"/>
        </w:rPr>
      </w:pPr>
    </w:p>
    <w:p w:rsidR="006E7C7C" w:rsidRPr="00707839" w:rsidRDefault="006E7C7C" w:rsidP="005423DA">
      <w:pPr>
        <w:pStyle w:val="Prrafodelista"/>
        <w:tabs>
          <w:tab w:val="left" w:pos="426"/>
        </w:tabs>
        <w:ind w:left="0"/>
        <w:jc w:val="center"/>
        <w:rPr>
          <w:rFonts w:ascii="Calibri" w:hAnsi="Calibri"/>
          <w:sz w:val="20"/>
          <w:szCs w:val="20"/>
        </w:rPr>
      </w:pPr>
    </w:p>
    <w:p w:rsidR="00A47351" w:rsidRPr="00707839" w:rsidRDefault="00A47351" w:rsidP="00A47351">
      <w:pPr>
        <w:pStyle w:val="Prrafodelista"/>
        <w:tabs>
          <w:tab w:val="left" w:pos="426"/>
        </w:tabs>
        <w:ind w:left="0"/>
        <w:jc w:val="both"/>
        <w:rPr>
          <w:rFonts w:ascii="Calibri" w:hAnsi="Calibri"/>
          <w:sz w:val="20"/>
          <w:szCs w:val="20"/>
        </w:rPr>
      </w:pPr>
      <w:r w:rsidRPr="00707839">
        <w:rPr>
          <w:rFonts w:ascii="Calibri" w:hAnsi="Calibri"/>
          <w:sz w:val="20"/>
          <w:szCs w:val="20"/>
        </w:rPr>
        <w:t xml:space="preserve">En el mes de Diciembre de 2013, se registró la depreciación de los bienes muebles adquiridos en los ejercicios 2009, 2010, 2011, 2012 y 2013, para cumplir el Acuerdo por el que se emiten las Reglas Específicas del Registro y Valoración del Patrimonio emitidas por el Consejo Nacional de Armonización Contable y publicadas en el Diario Oficial del Estado de Yucatán el 10 de Enero de 2012. </w:t>
      </w:r>
    </w:p>
    <w:p w:rsidR="00A47351" w:rsidRPr="00707839" w:rsidRDefault="00A47351" w:rsidP="00A47351">
      <w:pPr>
        <w:pStyle w:val="Textoindependiente"/>
        <w:tabs>
          <w:tab w:val="left" w:pos="426"/>
        </w:tabs>
        <w:rPr>
          <w:rFonts w:ascii="Calibri" w:hAnsi="Calibri"/>
          <w:bCs w:val="0"/>
          <w:sz w:val="20"/>
          <w:szCs w:val="20"/>
        </w:rPr>
      </w:pPr>
    </w:p>
    <w:p w:rsidR="00A47351" w:rsidRPr="00707839" w:rsidRDefault="00A47351" w:rsidP="00A47351">
      <w:pPr>
        <w:pStyle w:val="Textoindependiente"/>
        <w:rPr>
          <w:rFonts w:ascii="Calibri" w:hAnsi="Calibri"/>
          <w:bCs w:val="0"/>
          <w:sz w:val="20"/>
          <w:szCs w:val="20"/>
        </w:rPr>
      </w:pPr>
      <w:r w:rsidRPr="00707839">
        <w:rPr>
          <w:rFonts w:ascii="Calibri" w:hAnsi="Calibri"/>
          <w:bCs w:val="0"/>
          <w:sz w:val="20"/>
          <w:szCs w:val="20"/>
        </w:rPr>
        <w:t xml:space="preserve">La depreciación acumulada de mobiliario y equipo de bienes muebles </w:t>
      </w:r>
      <w:r w:rsidR="00BD2A58" w:rsidRPr="00707839">
        <w:rPr>
          <w:rFonts w:ascii="Calibri" w:hAnsi="Calibri"/>
          <w:bCs w:val="0"/>
          <w:sz w:val="20"/>
          <w:szCs w:val="20"/>
        </w:rPr>
        <w:t xml:space="preserve">al </w:t>
      </w:r>
      <w:r w:rsidR="001A2FAC" w:rsidRPr="00707839">
        <w:rPr>
          <w:rFonts w:ascii="Calibri" w:hAnsi="Calibri"/>
          <w:bCs w:val="0"/>
          <w:sz w:val="20"/>
          <w:szCs w:val="20"/>
        </w:rPr>
        <w:t>31 de Mayo de 2022</w:t>
      </w:r>
      <w:r w:rsidRPr="00707839">
        <w:rPr>
          <w:rFonts w:ascii="Calibri" w:hAnsi="Calibri"/>
          <w:bCs w:val="0"/>
          <w:sz w:val="20"/>
          <w:szCs w:val="20"/>
        </w:rPr>
        <w:t xml:space="preserve">, asciende a la cantidad </w:t>
      </w:r>
      <w:r w:rsidR="009D57F4" w:rsidRPr="00707839">
        <w:rPr>
          <w:rFonts w:ascii="Calibri" w:hAnsi="Calibri"/>
          <w:bCs w:val="0"/>
          <w:sz w:val="20"/>
          <w:szCs w:val="20"/>
        </w:rPr>
        <w:t>de $</w:t>
      </w:r>
      <w:r w:rsidRPr="00707839">
        <w:rPr>
          <w:rFonts w:ascii="Calibri" w:hAnsi="Calibri"/>
          <w:bCs w:val="0"/>
          <w:sz w:val="20"/>
          <w:szCs w:val="20"/>
        </w:rPr>
        <w:t xml:space="preserve"> </w:t>
      </w:r>
      <w:r w:rsidR="00072CD0" w:rsidRPr="00707839">
        <w:rPr>
          <w:rFonts w:ascii="Calibri" w:hAnsi="Calibri"/>
          <w:bCs w:val="0"/>
          <w:sz w:val="20"/>
          <w:szCs w:val="20"/>
        </w:rPr>
        <w:t>8</w:t>
      </w:r>
      <w:r w:rsidRPr="00707839">
        <w:rPr>
          <w:rFonts w:ascii="Calibri" w:hAnsi="Calibri"/>
          <w:bCs w:val="0"/>
          <w:sz w:val="20"/>
          <w:szCs w:val="20"/>
        </w:rPr>
        <w:t>´</w:t>
      </w:r>
      <w:r w:rsidR="00072CD0" w:rsidRPr="00707839">
        <w:rPr>
          <w:rFonts w:ascii="Calibri" w:hAnsi="Calibri"/>
          <w:bCs w:val="0"/>
          <w:sz w:val="20"/>
          <w:szCs w:val="20"/>
        </w:rPr>
        <w:t>0</w:t>
      </w:r>
      <w:r w:rsidR="005423DA" w:rsidRPr="00707839">
        <w:rPr>
          <w:rFonts w:ascii="Calibri" w:hAnsi="Calibri"/>
          <w:bCs w:val="0"/>
          <w:sz w:val="20"/>
          <w:szCs w:val="20"/>
        </w:rPr>
        <w:t>45</w:t>
      </w:r>
      <w:r w:rsidR="009D57F4" w:rsidRPr="00707839">
        <w:rPr>
          <w:rFonts w:ascii="Calibri" w:hAnsi="Calibri"/>
          <w:bCs w:val="0"/>
          <w:sz w:val="20"/>
          <w:szCs w:val="20"/>
        </w:rPr>
        <w:t>,</w:t>
      </w:r>
      <w:r w:rsidR="005423DA" w:rsidRPr="00707839">
        <w:rPr>
          <w:rFonts w:ascii="Calibri" w:hAnsi="Calibri"/>
          <w:bCs w:val="0"/>
          <w:sz w:val="20"/>
          <w:szCs w:val="20"/>
        </w:rPr>
        <w:t>609</w:t>
      </w:r>
      <w:r w:rsidR="009D57F4" w:rsidRPr="00707839">
        <w:rPr>
          <w:rFonts w:ascii="Calibri" w:hAnsi="Calibri"/>
          <w:bCs w:val="0"/>
          <w:sz w:val="20"/>
          <w:szCs w:val="20"/>
        </w:rPr>
        <w:t>.</w:t>
      </w:r>
      <w:r w:rsidR="005423DA" w:rsidRPr="00707839">
        <w:rPr>
          <w:rFonts w:ascii="Calibri" w:hAnsi="Calibri"/>
          <w:bCs w:val="0"/>
          <w:sz w:val="20"/>
          <w:szCs w:val="20"/>
        </w:rPr>
        <w:t>78</w:t>
      </w:r>
      <w:r w:rsidRPr="00707839">
        <w:rPr>
          <w:rFonts w:ascii="Calibri" w:hAnsi="Calibri"/>
          <w:bCs w:val="0"/>
          <w:sz w:val="20"/>
          <w:szCs w:val="20"/>
        </w:rPr>
        <w:t>, que se integra de la siguiente forma:</w:t>
      </w:r>
    </w:p>
    <w:p w:rsidR="009D57F4" w:rsidRPr="00707839" w:rsidRDefault="009D57F4" w:rsidP="00A47351">
      <w:pPr>
        <w:pStyle w:val="Textoindependiente"/>
        <w:rPr>
          <w:rFonts w:ascii="Calibri" w:hAnsi="Calibri"/>
          <w:bCs w:val="0"/>
          <w:sz w:val="20"/>
          <w:szCs w:val="20"/>
        </w:rPr>
      </w:pPr>
    </w:p>
    <w:p w:rsidR="004E7158" w:rsidRPr="00707839" w:rsidRDefault="004E7158" w:rsidP="00A47351">
      <w:pPr>
        <w:pStyle w:val="Textoindependiente"/>
        <w:rPr>
          <w:rFonts w:ascii="Calibri" w:hAnsi="Calibri"/>
          <w:bCs w:val="0"/>
          <w:sz w:val="20"/>
          <w:szCs w:val="20"/>
        </w:rPr>
      </w:pPr>
    </w:p>
    <w:p w:rsidR="004E7158" w:rsidRPr="00707839" w:rsidRDefault="005423DA" w:rsidP="007F6C9A">
      <w:pPr>
        <w:pStyle w:val="Textoindependiente"/>
        <w:jc w:val="center"/>
        <w:rPr>
          <w:rFonts w:ascii="Calibri" w:hAnsi="Calibri"/>
          <w:bCs w:val="0"/>
          <w:sz w:val="20"/>
          <w:szCs w:val="20"/>
        </w:rPr>
      </w:pPr>
      <w:r w:rsidRPr="00707839">
        <w:rPr>
          <w:noProof/>
          <w:lang w:eastAsia="es-MX"/>
        </w:rPr>
        <w:drawing>
          <wp:inline distT="0" distB="0" distL="0" distR="0">
            <wp:extent cx="6905625" cy="1295400"/>
            <wp:effectExtent l="0" t="0" r="952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05625" cy="1295400"/>
                    </a:xfrm>
                    <a:prstGeom prst="rect">
                      <a:avLst/>
                    </a:prstGeom>
                    <a:noFill/>
                    <a:ln>
                      <a:noFill/>
                    </a:ln>
                  </pic:spPr>
                </pic:pic>
              </a:graphicData>
            </a:graphic>
          </wp:inline>
        </w:drawing>
      </w:r>
    </w:p>
    <w:p w:rsidR="00A47351" w:rsidRPr="00707839" w:rsidRDefault="00A47351" w:rsidP="00CE2F1B">
      <w:pPr>
        <w:pStyle w:val="Prrafodelista"/>
        <w:tabs>
          <w:tab w:val="left" w:pos="426"/>
        </w:tabs>
        <w:ind w:left="0"/>
        <w:jc w:val="center"/>
        <w:rPr>
          <w:rFonts w:ascii="Calibri" w:hAnsi="Calibri"/>
          <w:sz w:val="20"/>
          <w:szCs w:val="20"/>
        </w:rPr>
      </w:pPr>
    </w:p>
    <w:p w:rsidR="00C75038" w:rsidRPr="00707839" w:rsidRDefault="00C75038" w:rsidP="00A47351">
      <w:pPr>
        <w:pStyle w:val="Prrafodelista"/>
        <w:tabs>
          <w:tab w:val="left" w:pos="426"/>
        </w:tabs>
        <w:ind w:left="0"/>
        <w:jc w:val="center"/>
        <w:rPr>
          <w:rFonts w:ascii="Calibri" w:hAnsi="Calibri"/>
          <w:sz w:val="20"/>
          <w:szCs w:val="20"/>
        </w:rPr>
      </w:pPr>
    </w:p>
    <w:p w:rsidR="00A47351" w:rsidRPr="00707839" w:rsidRDefault="00A47351" w:rsidP="00A47351">
      <w:pPr>
        <w:pStyle w:val="Prrafodelista"/>
        <w:tabs>
          <w:tab w:val="left" w:pos="426"/>
        </w:tabs>
        <w:ind w:left="0"/>
        <w:jc w:val="both"/>
        <w:rPr>
          <w:rFonts w:ascii="Calibri" w:hAnsi="Calibri"/>
          <w:sz w:val="20"/>
          <w:szCs w:val="20"/>
        </w:rPr>
      </w:pPr>
      <w:r w:rsidRPr="00707839">
        <w:rPr>
          <w:rFonts w:ascii="Calibri" w:hAnsi="Calibri"/>
          <w:b/>
          <w:sz w:val="20"/>
          <w:szCs w:val="20"/>
        </w:rPr>
        <w:t>1.1.5.4.2</w:t>
      </w:r>
      <w:r w:rsidRPr="00707839">
        <w:rPr>
          <w:rFonts w:ascii="Calibri" w:hAnsi="Calibri"/>
          <w:sz w:val="20"/>
          <w:szCs w:val="20"/>
        </w:rPr>
        <w:t xml:space="preserve"> La amortización es la distribución sistemática del costo de adquisición de un activo a lo largo de su vida útil, conforme el Acuerdo por el que se emiten las Reglas Específicas del Registro y Valoración del Patrimonio emitidas por el Consejo Nacional de Armonización Contable y publicadas en el Diario Oficial del Gobierno del Estado de Yucatán, el 10 de Enero de 2012.</w:t>
      </w:r>
    </w:p>
    <w:p w:rsidR="00C243D7" w:rsidRPr="00707839" w:rsidRDefault="00C243D7" w:rsidP="00A47351">
      <w:pPr>
        <w:pStyle w:val="Prrafodelista"/>
        <w:tabs>
          <w:tab w:val="left" w:pos="426"/>
        </w:tabs>
        <w:ind w:left="0"/>
        <w:jc w:val="both"/>
        <w:rPr>
          <w:rFonts w:ascii="Calibri" w:hAnsi="Calibri"/>
          <w:sz w:val="20"/>
          <w:szCs w:val="20"/>
        </w:rPr>
      </w:pPr>
    </w:p>
    <w:p w:rsidR="00A47351" w:rsidRPr="00707839" w:rsidRDefault="00A47351" w:rsidP="00A47351">
      <w:pPr>
        <w:pStyle w:val="Prrafodelista"/>
        <w:tabs>
          <w:tab w:val="left" w:pos="426"/>
        </w:tabs>
        <w:ind w:left="0"/>
        <w:jc w:val="both"/>
        <w:rPr>
          <w:rFonts w:ascii="Calibri" w:hAnsi="Calibri"/>
          <w:sz w:val="20"/>
          <w:szCs w:val="20"/>
        </w:rPr>
      </w:pPr>
      <w:r w:rsidRPr="00707839">
        <w:rPr>
          <w:rFonts w:ascii="Calibri" w:hAnsi="Calibri"/>
          <w:sz w:val="20"/>
          <w:szCs w:val="20"/>
        </w:rPr>
        <w:t>A continuación, se enlista los años de vida útil y el porcentaje de amortización anual aplicado en el siguiente rubro de activos intangibles:</w:t>
      </w:r>
    </w:p>
    <w:p w:rsidR="00A47351" w:rsidRPr="00707839" w:rsidRDefault="00A47351" w:rsidP="00A47351">
      <w:pPr>
        <w:pStyle w:val="Prrafodelista"/>
        <w:tabs>
          <w:tab w:val="left" w:pos="426"/>
        </w:tabs>
        <w:ind w:left="0"/>
        <w:jc w:val="both"/>
        <w:rPr>
          <w:rFonts w:ascii="Calibri" w:hAnsi="Calibri"/>
          <w:sz w:val="20"/>
          <w:szCs w:val="20"/>
        </w:rPr>
      </w:pPr>
    </w:p>
    <w:p w:rsidR="00E24811" w:rsidRPr="00707839" w:rsidRDefault="00E24811" w:rsidP="00A47351">
      <w:pPr>
        <w:pStyle w:val="Prrafodelista"/>
        <w:tabs>
          <w:tab w:val="left" w:pos="426"/>
        </w:tabs>
        <w:ind w:left="0"/>
        <w:jc w:val="both"/>
        <w:rPr>
          <w:rFonts w:ascii="Calibri" w:hAnsi="Calibri"/>
          <w:sz w:val="20"/>
          <w:szCs w:val="20"/>
        </w:rPr>
      </w:pPr>
    </w:p>
    <w:p w:rsidR="00BC5288" w:rsidRPr="00707839" w:rsidRDefault="00E24811" w:rsidP="007F6C9A">
      <w:pPr>
        <w:pStyle w:val="Prrafodelista"/>
        <w:tabs>
          <w:tab w:val="left" w:pos="426"/>
        </w:tabs>
        <w:ind w:left="0"/>
        <w:jc w:val="center"/>
        <w:rPr>
          <w:rFonts w:ascii="Calibri" w:hAnsi="Calibri"/>
          <w:sz w:val="20"/>
          <w:szCs w:val="20"/>
        </w:rPr>
      </w:pPr>
      <w:r w:rsidRPr="00707839">
        <w:rPr>
          <w:rFonts w:ascii="Calibri" w:hAnsi="Calibri"/>
          <w:noProof/>
          <w:sz w:val="20"/>
          <w:szCs w:val="20"/>
          <w:lang w:eastAsia="es-MX"/>
        </w:rPr>
        <w:drawing>
          <wp:inline distT="0" distB="0" distL="0" distR="0" wp14:anchorId="599D300B">
            <wp:extent cx="3183147" cy="721641"/>
            <wp:effectExtent l="0" t="0" r="0" b="254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26850" cy="731549"/>
                    </a:xfrm>
                    <a:prstGeom prst="rect">
                      <a:avLst/>
                    </a:prstGeom>
                    <a:noFill/>
                  </pic:spPr>
                </pic:pic>
              </a:graphicData>
            </a:graphic>
          </wp:inline>
        </w:drawing>
      </w:r>
    </w:p>
    <w:p w:rsidR="00A47351" w:rsidRPr="00707839" w:rsidRDefault="00A47351" w:rsidP="00A47351">
      <w:pPr>
        <w:pStyle w:val="Prrafodelista"/>
        <w:tabs>
          <w:tab w:val="left" w:pos="0"/>
          <w:tab w:val="left" w:pos="426"/>
        </w:tabs>
        <w:ind w:left="0"/>
        <w:jc w:val="both"/>
        <w:rPr>
          <w:rFonts w:ascii="Calibri" w:hAnsi="Calibri" w:cs="Arial"/>
          <w:bCs/>
          <w:sz w:val="20"/>
          <w:szCs w:val="20"/>
        </w:rPr>
      </w:pPr>
    </w:p>
    <w:p w:rsidR="00A47351" w:rsidRPr="00707839" w:rsidRDefault="00A47351" w:rsidP="00A47351">
      <w:pPr>
        <w:pStyle w:val="Prrafodelista"/>
        <w:tabs>
          <w:tab w:val="left" w:pos="0"/>
          <w:tab w:val="left" w:pos="426"/>
        </w:tabs>
        <w:ind w:left="0"/>
        <w:jc w:val="both"/>
        <w:rPr>
          <w:rFonts w:ascii="Calibri" w:hAnsi="Calibri" w:cs="Arial"/>
          <w:bCs/>
          <w:sz w:val="20"/>
          <w:szCs w:val="20"/>
        </w:rPr>
      </w:pPr>
    </w:p>
    <w:p w:rsidR="00A47351" w:rsidRPr="00707839" w:rsidRDefault="00A47351" w:rsidP="00A47351">
      <w:pPr>
        <w:pStyle w:val="Prrafodelista"/>
        <w:tabs>
          <w:tab w:val="left" w:pos="0"/>
          <w:tab w:val="left" w:pos="426"/>
        </w:tabs>
        <w:ind w:left="0"/>
        <w:jc w:val="both"/>
        <w:rPr>
          <w:rFonts w:ascii="Calibri" w:hAnsi="Calibri" w:cs="Arial"/>
          <w:bCs/>
          <w:sz w:val="20"/>
          <w:szCs w:val="20"/>
        </w:rPr>
      </w:pPr>
      <w:r w:rsidRPr="00707839">
        <w:rPr>
          <w:rFonts w:ascii="Calibri" w:hAnsi="Calibri"/>
          <w:sz w:val="20"/>
          <w:szCs w:val="20"/>
        </w:rPr>
        <w:t xml:space="preserve">En el mes de Diciembre de 2013, se registró la amortización de activos intangibles que se adquirió en los ejercicios 2010, 2011 y 2012, para cumplir el Acuerdo por el que se emiten las Reglas Específicas del Registro y Valoración del Patrimonio emitidas por el Consejo Nacional de Armonización Contable y publicadas en el Diario Oficial del Gobierno del Estado de Yucatán el 10 de Enero de 2012. </w:t>
      </w:r>
    </w:p>
    <w:p w:rsidR="00A47351" w:rsidRPr="00707839" w:rsidRDefault="00A47351" w:rsidP="00A47351">
      <w:pPr>
        <w:pStyle w:val="Textoindependiente"/>
        <w:rPr>
          <w:rFonts w:ascii="Calibri" w:hAnsi="Calibri"/>
          <w:bCs w:val="0"/>
          <w:sz w:val="20"/>
          <w:szCs w:val="20"/>
        </w:rPr>
      </w:pPr>
    </w:p>
    <w:p w:rsidR="00A47351" w:rsidRPr="00707839" w:rsidRDefault="00A47351" w:rsidP="00A47351">
      <w:pPr>
        <w:pStyle w:val="Textoindependiente"/>
        <w:rPr>
          <w:rFonts w:ascii="Calibri" w:hAnsi="Calibri"/>
          <w:bCs w:val="0"/>
          <w:sz w:val="20"/>
          <w:szCs w:val="20"/>
        </w:rPr>
      </w:pPr>
      <w:r w:rsidRPr="00707839">
        <w:rPr>
          <w:rFonts w:ascii="Calibri" w:hAnsi="Calibri"/>
          <w:bCs w:val="0"/>
          <w:sz w:val="20"/>
          <w:szCs w:val="20"/>
        </w:rPr>
        <w:t xml:space="preserve">La amortización acumulada de </w:t>
      </w:r>
      <w:r w:rsidRPr="00707839">
        <w:rPr>
          <w:rFonts w:ascii="Calibri" w:hAnsi="Calibri"/>
          <w:sz w:val="20"/>
          <w:szCs w:val="20"/>
        </w:rPr>
        <w:t xml:space="preserve">activos intangibles </w:t>
      </w:r>
      <w:r w:rsidR="00BD2A58" w:rsidRPr="00707839">
        <w:rPr>
          <w:rFonts w:ascii="Calibri" w:hAnsi="Calibri"/>
          <w:bCs w:val="0"/>
          <w:sz w:val="20"/>
          <w:szCs w:val="20"/>
        </w:rPr>
        <w:t xml:space="preserve">al </w:t>
      </w:r>
      <w:r w:rsidR="001A2FAC" w:rsidRPr="00707839">
        <w:rPr>
          <w:rFonts w:ascii="Calibri" w:hAnsi="Calibri"/>
          <w:bCs w:val="0"/>
          <w:sz w:val="20"/>
          <w:szCs w:val="20"/>
        </w:rPr>
        <w:t>31 de Mayo de 2022</w:t>
      </w:r>
      <w:r w:rsidR="00CA0766" w:rsidRPr="00707839">
        <w:rPr>
          <w:rFonts w:ascii="Calibri" w:hAnsi="Calibri"/>
          <w:bCs w:val="0"/>
          <w:sz w:val="20"/>
          <w:szCs w:val="20"/>
        </w:rPr>
        <w:t xml:space="preserve"> </w:t>
      </w:r>
      <w:r w:rsidRPr="00707839">
        <w:rPr>
          <w:rFonts w:ascii="Calibri" w:hAnsi="Calibri"/>
          <w:bCs w:val="0"/>
          <w:sz w:val="20"/>
          <w:szCs w:val="20"/>
        </w:rPr>
        <w:t xml:space="preserve">asciende a la cantidad de </w:t>
      </w:r>
      <w:r w:rsidR="00231E0F" w:rsidRPr="00707839">
        <w:rPr>
          <w:rFonts w:ascii="Calibri" w:hAnsi="Calibri"/>
          <w:bCs w:val="0"/>
          <w:sz w:val="20"/>
          <w:szCs w:val="20"/>
        </w:rPr>
        <w:t>$</w:t>
      </w:r>
      <w:r w:rsidR="008B4A36" w:rsidRPr="00707839">
        <w:rPr>
          <w:rFonts w:ascii="Calibri" w:hAnsi="Calibri"/>
          <w:bCs w:val="0"/>
          <w:sz w:val="20"/>
          <w:szCs w:val="20"/>
        </w:rPr>
        <w:t>3</w:t>
      </w:r>
      <w:r w:rsidR="005423DA" w:rsidRPr="00707839">
        <w:rPr>
          <w:rFonts w:ascii="Calibri" w:hAnsi="Calibri"/>
          <w:bCs w:val="0"/>
          <w:sz w:val="20"/>
          <w:szCs w:val="20"/>
        </w:rPr>
        <w:t>37,402.92</w:t>
      </w:r>
      <w:r w:rsidR="00041E75" w:rsidRPr="00707839">
        <w:rPr>
          <w:rFonts w:ascii="Calibri" w:hAnsi="Calibri"/>
          <w:bCs w:val="0"/>
          <w:sz w:val="20"/>
          <w:szCs w:val="20"/>
        </w:rPr>
        <w:t>.</w:t>
      </w:r>
    </w:p>
    <w:p w:rsidR="00A47351" w:rsidRPr="00707839" w:rsidRDefault="00A47351" w:rsidP="00A47351">
      <w:pPr>
        <w:pStyle w:val="Textoindependiente"/>
        <w:rPr>
          <w:rFonts w:ascii="Calibri" w:hAnsi="Calibri"/>
          <w:bCs w:val="0"/>
          <w:sz w:val="20"/>
          <w:szCs w:val="20"/>
        </w:rPr>
      </w:pPr>
    </w:p>
    <w:p w:rsidR="00A47351" w:rsidRPr="00707839" w:rsidRDefault="00A47351" w:rsidP="00A47351">
      <w:pPr>
        <w:pStyle w:val="Textoindependiente"/>
        <w:jc w:val="center"/>
        <w:rPr>
          <w:rFonts w:ascii="Calibri" w:hAnsi="Calibri"/>
          <w:sz w:val="20"/>
          <w:szCs w:val="20"/>
        </w:rPr>
      </w:pPr>
    </w:p>
    <w:p w:rsidR="00A47351" w:rsidRPr="00707839" w:rsidRDefault="00A47351" w:rsidP="00A47351">
      <w:pPr>
        <w:pStyle w:val="Prrafodelista"/>
        <w:numPr>
          <w:ilvl w:val="2"/>
          <w:numId w:val="43"/>
        </w:numPr>
        <w:tabs>
          <w:tab w:val="left" w:pos="567"/>
        </w:tabs>
        <w:ind w:left="0" w:firstLine="0"/>
        <w:rPr>
          <w:rFonts w:ascii="Calibri" w:hAnsi="Calibri"/>
          <w:b/>
          <w:sz w:val="20"/>
          <w:szCs w:val="20"/>
        </w:rPr>
      </w:pPr>
      <w:r w:rsidRPr="00707839">
        <w:rPr>
          <w:rFonts w:ascii="Calibri" w:hAnsi="Calibri"/>
          <w:b/>
          <w:sz w:val="20"/>
          <w:szCs w:val="20"/>
        </w:rPr>
        <w:lastRenderedPageBreak/>
        <w:t>Estimaciones y deterioros.</w:t>
      </w:r>
    </w:p>
    <w:p w:rsidR="00A47351" w:rsidRPr="00707839" w:rsidRDefault="00A47351" w:rsidP="00A47351">
      <w:pPr>
        <w:pStyle w:val="Prrafodelista"/>
        <w:tabs>
          <w:tab w:val="left" w:pos="426"/>
        </w:tabs>
        <w:ind w:left="0"/>
        <w:jc w:val="both"/>
        <w:rPr>
          <w:rFonts w:ascii="Calibri" w:hAnsi="Calibri"/>
          <w:sz w:val="20"/>
          <w:szCs w:val="20"/>
        </w:rPr>
      </w:pPr>
    </w:p>
    <w:p w:rsidR="00A47351" w:rsidRPr="00707839" w:rsidRDefault="00E24811" w:rsidP="00A47351">
      <w:pPr>
        <w:pStyle w:val="Prrafodelista"/>
        <w:tabs>
          <w:tab w:val="left" w:pos="426"/>
        </w:tabs>
        <w:ind w:left="0"/>
        <w:jc w:val="both"/>
        <w:rPr>
          <w:rFonts w:ascii="Calibri" w:hAnsi="Calibri"/>
          <w:sz w:val="20"/>
          <w:szCs w:val="20"/>
        </w:rPr>
      </w:pPr>
      <w:r w:rsidRPr="00707839">
        <w:rPr>
          <w:rFonts w:ascii="Calibri" w:hAnsi="Calibri"/>
          <w:sz w:val="20"/>
          <w:szCs w:val="20"/>
        </w:rPr>
        <w:t xml:space="preserve">En marzo del </w:t>
      </w:r>
      <w:r w:rsidR="00072CD0" w:rsidRPr="00707839">
        <w:rPr>
          <w:rFonts w:ascii="Calibri" w:hAnsi="Calibri"/>
          <w:sz w:val="20"/>
          <w:szCs w:val="20"/>
        </w:rPr>
        <w:t>2022</w:t>
      </w:r>
      <w:r w:rsidR="000540F3" w:rsidRPr="00707839">
        <w:rPr>
          <w:rFonts w:ascii="Calibri" w:hAnsi="Calibri"/>
          <w:sz w:val="20"/>
          <w:szCs w:val="20"/>
        </w:rPr>
        <w:t>, s</w:t>
      </w:r>
      <w:r w:rsidR="004E7158" w:rsidRPr="00707839">
        <w:rPr>
          <w:rFonts w:ascii="Calibri" w:hAnsi="Calibri"/>
          <w:sz w:val="20"/>
          <w:szCs w:val="20"/>
        </w:rPr>
        <w:t xml:space="preserve">e </w:t>
      </w:r>
      <w:r w:rsidR="000540F3" w:rsidRPr="00707839">
        <w:rPr>
          <w:rFonts w:ascii="Calibri" w:hAnsi="Calibri"/>
          <w:sz w:val="20"/>
          <w:szCs w:val="20"/>
        </w:rPr>
        <w:t xml:space="preserve">canceló el saldo de la </w:t>
      </w:r>
      <w:r w:rsidR="004E7158" w:rsidRPr="00707839">
        <w:rPr>
          <w:rFonts w:ascii="Calibri" w:hAnsi="Calibri"/>
          <w:sz w:val="20"/>
          <w:szCs w:val="20"/>
        </w:rPr>
        <w:t xml:space="preserve">cuenta con el </w:t>
      </w:r>
      <w:r w:rsidR="00A47351" w:rsidRPr="00707839">
        <w:rPr>
          <w:rFonts w:ascii="Calibri" w:hAnsi="Calibri"/>
          <w:sz w:val="20"/>
          <w:szCs w:val="20"/>
        </w:rPr>
        <w:t>registró</w:t>
      </w:r>
      <w:r w:rsidR="004E7158" w:rsidRPr="00707839">
        <w:rPr>
          <w:rFonts w:ascii="Calibri" w:hAnsi="Calibri"/>
          <w:sz w:val="20"/>
          <w:szCs w:val="20"/>
        </w:rPr>
        <w:t xml:space="preserve"> de</w:t>
      </w:r>
      <w:r w:rsidR="00A47351" w:rsidRPr="00707839">
        <w:rPr>
          <w:rFonts w:ascii="Calibri" w:hAnsi="Calibri"/>
          <w:sz w:val="20"/>
          <w:szCs w:val="20"/>
        </w:rPr>
        <w:t xml:space="preserve"> estimación para cuentas i</w:t>
      </w:r>
      <w:r w:rsidR="00E835C6" w:rsidRPr="00707839">
        <w:rPr>
          <w:rFonts w:ascii="Calibri" w:hAnsi="Calibri"/>
          <w:sz w:val="20"/>
          <w:szCs w:val="20"/>
        </w:rPr>
        <w:t>ncobrables por la cantidad de $</w:t>
      </w:r>
      <w:r w:rsidR="00A47351" w:rsidRPr="00707839">
        <w:rPr>
          <w:rFonts w:ascii="Calibri" w:hAnsi="Calibri"/>
          <w:sz w:val="20"/>
          <w:szCs w:val="20"/>
        </w:rPr>
        <w:t>190,000.00, que corresponde a saldo</w:t>
      </w:r>
      <w:r w:rsidR="000540F3" w:rsidRPr="00707839">
        <w:rPr>
          <w:rFonts w:ascii="Calibri" w:hAnsi="Calibri"/>
          <w:sz w:val="20"/>
          <w:szCs w:val="20"/>
        </w:rPr>
        <w:t xml:space="preserve"> de dudosa recuperación, de acuerdo al </w:t>
      </w:r>
      <w:r w:rsidR="001919F7" w:rsidRPr="00707839">
        <w:rPr>
          <w:rFonts w:ascii="Calibri" w:hAnsi="Calibri"/>
          <w:sz w:val="20"/>
          <w:szCs w:val="20"/>
        </w:rPr>
        <w:t>acta de</w:t>
      </w:r>
      <w:r w:rsidR="008B4A36" w:rsidRPr="00707839">
        <w:rPr>
          <w:rFonts w:ascii="Calibri" w:hAnsi="Calibri"/>
          <w:sz w:val="20"/>
          <w:szCs w:val="20"/>
        </w:rPr>
        <w:t xml:space="preserve"> depuración de saldos contables </w:t>
      </w:r>
      <w:r w:rsidR="000540F3" w:rsidRPr="00707839">
        <w:rPr>
          <w:rFonts w:ascii="Calibri" w:hAnsi="Calibri"/>
          <w:sz w:val="20"/>
          <w:szCs w:val="20"/>
        </w:rPr>
        <w:t>de fecha</w:t>
      </w:r>
      <w:r w:rsidR="008B4A36" w:rsidRPr="00707839">
        <w:rPr>
          <w:rFonts w:ascii="Calibri" w:hAnsi="Calibri"/>
          <w:sz w:val="20"/>
          <w:szCs w:val="20"/>
        </w:rPr>
        <w:t xml:space="preserve"> 31 de marzo 2022.</w:t>
      </w:r>
    </w:p>
    <w:p w:rsidR="00A47351" w:rsidRPr="00707839" w:rsidRDefault="00A47351" w:rsidP="00A47351">
      <w:pPr>
        <w:pStyle w:val="Prrafodelista"/>
        <w:tabs>
          <w:tab w:val="left" w:pos="6480"/>
        </w:tabs>
        <w:ind w:left="0"/>
        <w:rPr>
          <w:rFonts w:ascii="Calibri" w:hAnsi="Calibri"/>
          <w:b/>
          <w:sz w:val="20"/>
          <w:szCs w:val="20"/>
        </w:rPr>
      </w:pPr>
    </w:p>
    <w:p w:rsidR="00A47351" w:rsidRPr="00707839" w:rsidRDefault="00A47351" w:rsidP="00A47351">
      <w:pPr>
        <w:pStyle w:val="Prrafodelista"/>
        <w:numPr>
          <w:ilvl w:val="2"/>
          <w:numId w:val="43"/>
        </w:numPr>
        <w:tabs>
          <w:tab w:val="left" w:pos="567"/>
        </w:tabs>
        <w:ind w:left="0" w:firstLine="0"/>
        <w:rPr>
          <w:rFonts w:ascii="Calibri" w:hAnsi="Calibri"/>
          <w:b/>
          <w:sz w:val="20"/>
          <w:szCs w:val="20"/>
        </w:rPr>
      </w:pPr>
      <w:r w:rsidRPr="00707839">
        <w:rPr>
          <w:rFonts w:ascii="Calibri" w:hAnsi="Calibri"/>
          <w:b/>
          <w:sz w:val="20"/>
          <w:szCs w:val="20"/>
        </w:rPr>
        <w:t>Otros Activos Circulantes.</w:t>
      </w:r>
    </w:p>
    <w:p w:rsidR="00A47351" w:rsidRPr="00707839" w:rsidRDefault="00A47351" w:rsidP="00A47351">
      <w:pPr>
        <w:pStyle w:val="Textoindependiente2"/>
        <w:rPr>
          <w:rFonts w:ascii="Calibri" w:hAnsi="Calibri" w:cs="Times New Roman"/>
          <w:sz w:val="20"/>
          <w:szCs w:val="20"/>
        </w:rPr>
      </w:pPr>
    </w:p>
    <w:p w:rsidR="00A47351" w:rsidRPr="00707839" w:rsidRDefault="00A47351" w:rsidP="00A47351">
      <w:pPr>
        <w:autoSpaceDE w:val="0"/>
        <w:jc w:val="both"/>
        <w:rPr>
          <w:rFonts w:ascii="Calibri" w:hAnsi="Calibri"/>
          <w:sz w:val="20"/>
          <w:szCs w:val="20"/>
        </w:rPr>
      </w:pPr>
      <w:r w:rsidRPr="00707839">
        <w:rPr>
          <w:rFonts w:ascii="Calibri" w:hAnsi="Calibri"/>
          <w:sz w:val="20"/>
          <w:szCs w:val="20"/>
        </w:rPr>
        <w:t>El Fideicomiso Garante de la Orquesta Sinfónica de Yucatán (FIGAROSY) no cuenta con otros activos circulantes.</w:t>
      </w:r>
    </w:p>
    <w:p w:rsidR="00A47351" w:rsidRPr="00707839" w:rsidRDefault="00A47351" w:rsidP="00A47351">
      <w:pPr>
        <w:tabs>
          <w:tab w:val="left" w:pos="426"/>
        </w:tabs>
        <w:rPr>
          <w:rFonts w:ascii="Calibri" w:hAnsi="Calibri"/>
          <w:b/>
          <w:sz w:val="20"/>
          <w:szCs w:val="20"/>
        </w:rPr>
      </w:pPr>
    </w:p>
    <w:p w:rsidR="00A47351" w:rsidRPr="00707839" w:rsidRDefault="00A47351" w:rsidP="00A47351">
      <w:pPr>
        <w:pStyle w:val="Prrafodelista"/>
        <w:numPr>
          <w:ilvl w:val="1"/>
          <w:numId w:val="43"/>
        </w:numPr>
        <w:tabs>
          <w:tab w:val="left" w:pos="426"/>
        </w:tabs>
        <w:rPr>
          <w:rFonts w:ascii="Calibri" w:hAnsi="Calibri"/>
          <w:b/>
          <w:sz w:val="20"/>
          <w:szCs w:val="20"/>
        </w:rPr>
      </w:pPr>
      <w:r w:rsidRPr="00707839">
        <w:rPr>
          <w:rFonts w:ascii="Calibri" w:hAnsi="Calibri"/>
          <w:b/>
          <w:sz w:val="20"/>
          <w:szCs w:val="20"/>
        </w:rPr>
        <w:t>Pasivo</w:t>
      </w:r>
    </w:p>
    <w:p w:rsidR="00A47351" w:rsidRPr="00707839" w:rsidRDefault="00A47351" w:rsidP="00A47351">
      <w:pPr>
        <w:pStyle w:val="Prrafodelista"/>
        <w:tabs>
          <w:tab w:val="left" w:pos="426"/>
        </w:tabs>
        <w:ind w:left="0"/>
        <w:rPr>
          <w:rFonts w:ascii="Calibri" w:hAnsi="Calibri"/>
          <w:sz w:val="20"/>
          <w:szCs w:val="20"/>
        </w:rPr>
      </w:pPr>
    </w:p>
    <w:p w:rsidR="00A47351" w:rsidRPr="00707839" w:rsidRDefault="00A47351" w:rsidP="00A47351">
      <w:pPr>
        <w:pStyle w:val="Prrafodelista"/>
        <w:tabs>
          <w:tab w:val="left" w:pos="426"/>
        </w:tabs>
        <w:ind w:left="0"/>
        <w:rPr>
          <w:rFonts w:ascii="Calibri" w:hAnsi="Calibri"/>
          <w:b/>
          <w:sz w:val="20"/>
          <w:szCs w:val="20"/>
        </w:rPr>
      </w:pPr>
      <w:r w:rsidRPr="00707839">
        <w:rPr>
          <w:rFonts w:ascii="Calibri" w:hAnsi="Calibri"/>
          <w:b/>
          <w:sz w:val="20"/>
          <w:szCs w:val="20"/>
        </w:rPr>
        <w:t>1.2.1 Cuentas por pagar a corto plazo.</w:t>
      </w:r>
    </w:p>
    <w:p w:rsidR="00A47351" w:rsidRPr="00707839" w:rsidRDefault="00A47351" w:rsidP="00A47351">
      <w:pPr>
        <w:pStyle w:val="Prrafodelista"/>
        <w:tabs>
          <w:tab w:val="left" w:pos="426"/>
        </w:tabs>
        <w:ind w:left="0"/>
        <w:rPr>
          <w:rFonts w:ascii="Calibri" w:hAnsi="Calibri"/>
          <w:b/>
          <w:sz w:val="20"/>
          <w:szCs w:val="20"/>
        </w:rPr>
      </w:pPr>
    </w:p>
    <w:p w:rsidR="00A47351" w:rsidRPr="00707839" w:rsidRDefault="00A47351" w:rsidP="00A47351">
      <w:pPr>
        <w:pStyle w:val="Prrafodelista"/>
        <w:tabs>
          <w:tab w:val="left" w:pos="426"/>
        </w:tabs>
        <w:ind w:left="0"/>
        <w:rPr>
          <w:rFonts w:ascii="Calibri" w:hAnsi="Calibri"/>
          <w:sz w:val="20"/>
          <w:szCs w:val="20"/>
        </w:rPr>
      </w:pPr>
      <w:r w:rsidRPr="00707839">
        <w:rPr>
          <w:rFonts w:ascii="Calibri" w:hAnsi="Calibri"/>
          <w:sz w:val="20"/>
          <w:szCs w:val="20"/>
        </w:rPr>
        <w:t xml:space="preserve">El FIGAROSY dispone </w:t>
      </w:r>
      <w:r w:rsidR="00BB432A" w:rsidRPr="00707839">
        <w:rPr>
          <w:rFonts w:ascii="Calibri" w:hAnsi="Calibri"/>
          <w:sz w:val="20"/>
          <w:szCs w:val="20"/>
        </w:rPr>
        <w:t xml:space="preserve">de $ </w:t>
      </w:r>
      <w:r w:rsidR="00E24811" w:rsidRPr="00707839">
        <w:rPr>
          <w:rFonts w:ascii="Calibri" w:hAnsi="Calibri"/>
          <w:sz w:val="20"/>
          <w:szCs w:val="20"/>
        </w:rPr>
        <w:t>7.</w:t>
      </w:r>
      <w:r w:rsidR="005423DA" w:rsidRPr="00707839">
        <w:rPr>
          <w:rFonts w:ascii="Calibri" w:hAnsi="Calibri"/>
          <w:sz w:val="20"/>
          <w:szCs w:val="20"/>
        </w:rPr>
        <w:t>80</w:t>
      </w:r>
      <w:r w:rsidR="00A21786" w:rsidRPr="00707839">
        <w:rPr>
          <w:rFonts w:ascii="Calibri" w:hAnsi="Calibri"/>
          <w:sz w:val="20"/>
          <w:szCs w:val="20"/>
        </w:rPr>
        <w:t xml:space="preserve"> </w:t>
      </w:r>
      <w:r w:rsidRPr="00707839">
        <w:rPr>
          <w:rFonts w:ascii="Calibri" w:hAnsi="Calibri"/>
          <w:sz w:val="20"/>
          <w:szCs w:val="20"/>
        </w:rPr>
        <w:t xml:space="preserve">de Activo Circulante para pagar cada $ 1.00 de obligaciones a corto plazo, por lo que puede cubrir la exigibilidad de sus obligaciones. </w:t>
      </w:r>
    </w:p>
    <w:p w:rsidR="00A47351" w:rsidRPr="00707839" w:rsidRDefault="00A47351" w:rsidP="00A47351">
      <w:pPr>
        <w:pStyle w:val="Prrafodelista"/>
        <w:tabs>
          <w:tab w:val="left" w:pos="426"/>
        </w:tabs>
        <w:ind w:left="0"/>
        <w:rPr>
          <w:rFonts w:ascii="Calibri" w:hAnsi="Calibri"/>
          <w:sz w:val="20"/>
          <w:szCs w:val="20"/>
        </w:rPr>
      </w:pPr>
    </w:p>
    <w:p w:rsidR="00A47351" w:rsidRPr="00707839" w:rsidRDefault="00A47351" w:rsidP="00A47351">
      <w:pPr>
        <w:pStyle w:val="Prrafodelista"/>
        <w:tabs>
          <w:tab w:val="left" w:pos="426"/>
        </w:tabs>
        <w:ind w:left="0"/>
        <w:jc w:val="both"/>
        <w:rPr>
          <w:rFonts w:ascii="Calibri" w:hAnsi="Calibri"/>
          <w:sz w:val="20"/>
          <w:szCs w:val="20"/>
        </w:rPr>
      </w:pPr>
      <w:r w:rsidRPr="00707839">
        <w:rPr>
          <w:rFonts w:ascii="Calibri" w:hAnsi="Calibri"/>
          <w:sz w:val="20"/>
          <w:szCs w:val="20"/>
        </w:rPr>
        <w:t xml:space="preserve">El rubro de Cuentas por pagar a corto plazo </w:t>
      </w:r>
      <w:r w:rsidR="00BD2A58" w:rsidRPr="00707839">
        <w:rPr>
          <w:rFonts w:ascii="Calibri" w:hAnsi="Calibri"/>
          <w:sz w:val="20"/>
          <w:szCs w:val="20"/>
        </w:rPr>
        <w:t xml:space="preserve">al </w:t>
      </w:r>
      <w:r w:rsidR="001A2FAC" w:rsidRPr="00707839">
        <w:rPr>
          <w:rFonts w:ascii="Calibri" w:hAnsi="Calibri"/>
          <w:sz w:val="20"/>
          <w:szCs w:val="20"/>
        </w:rPr>
        <w:t>31 de Mayo de 2022</w:t>
      </w:r>
      <w:r w:rsidRPr="00707839">
        <w:rPr>
          <w:rFonts w:ascii="Calibri" w:hAnsi="Calibri"/>
          <w:sz w:val="20"/>
          <w:szCs w:val="20"/>
        </w:rPr>
        <w:t>, se encuentra integrada de la siguiente manera:</w:t>
      </w:r>
    </w:p>
    <w:p w:rsidR="005423DA" w:rsidRPr="00707839" w:rsidRDefault="005423DA" w:rsidP="00A47351">
      <w:pPr>
        <w:pStyle w:val="Prrafodelista"/>
        <w:tabs>
          <w:tab w:val="left" w:pos="426"/>
        </w:tabs>
        <w:ind w:left="0"/>
        <w:jc w:val="both"/>
        <w:rPr>
          <w:rFonts w:ascii="Calibri" w:hAnsi="Calibri"/>
          <w:sz w:val="20"/>
          <w:szCs w:val="20"/>
        </w:rPr>
      </w:pPr>
    </w:p>
    <w:p w:rsidR="005423DA" w:rsidRPr="00707839" w:rsidRDefault="005423DA" w:rsidP="00A47351">
      <w:pPr>
        <w:pStyle w:val="Prrafodelista"/>
        <w:tabs>
          <w:tab w:val="left" w:pos="426"/>
        </w:tabs>
        <w:ind w:left="0"/>
        <w:jc w:val="both"/>
        <w:rPr>
          <w:rFonts w:ascii="Calibri" w:hAnsi="Calibri"/>
          <w:sz w:val="20"/>
          <w:szCs w:val="20"/>
        </w:rPr>
      </w:pPr>
    </w:p>
    <w:p w:rsidR="005423DA" w:rsidRPr="00707839" w:rsidRDefault="005423DA" w:rsidP="00A47351">
      <w:pPr>
        <w:pStyle w:val="Prrafodelista"/>
        <w:tabs>
          <w:tab w:val="left" w:pos="426"/>
        </w:tabs>
        <w:ind w:left="0"/>
        <w:jc w:val="both"/>
        <w:rPr>
          <w:rFonts w:ascii="Calibri" w:hAnsi="Calibri"/>
          <w:sz w:val="20"/>
          <w:szCs w:val="20"/>
        </w:rPr>
      </w:pPr>
    </w:p>
    <w:p w:rsidR="005423DA" w:rsidRPr="00707839" w:rsidRDefault="005423DA" w:rsidP="00A47351">
      <w:pPr>
        <w:pStyle w:val="Prrafodelista"/>
        <w:tabs>
          <w:tab w:val="left" w:pos="426"/>
        </w:tabs>
        <w:ind w:left="0"/>
        <w:jc w:val="both"/>
        <w:rPr>
          <w:rFonts w:ascii="Calibri" w:hAnsi="Calibri"/>
          <w:sz w:val="20"/>
          <w:szCs w:val="20"/>
        </w:rPr>
      </w:pPr>
    </w:p>
    <w:p w:rsidR="005423DA" w:rsidRPr="00707839" w:rsidRDefault="005423DA" w:rsidP="00A47351">
      <w:pPr>
        <w:pStyle w:val="Prrafodelista"/>
        <w:tabs>
          <w:tab w:val="left" w:pos="426"/>
        </w:tabs>
        <w:ind w:left="0"/>
        <w:jc w:val="both"/>
        <w:rPr>
          <w:rFonts w:ascii="Calibri" w:hAnsi="Calibri"/>
          <w:sz w:val="20"/>
          <w:szCs w:val="20"/>
        </w:rPr>
      </w:pPr>
    </w:p>
    <w:p w:rsidR="005423DA" w:rsidRPr="00707839" w:rsidRDefault="005423DA" w:rsidP="00A47351">
      <w:pPr>
        <w:pStyle w:val="Prrafodelista"/>
        <w:tabs>
          <w:tab w:val="left" w:pos="426"/>
        </w:tabs>
        <w:ind w:left="0"/>
        <w:jc w:val="both"/>
        <w:rPr>
          <w:rFonts w:ascii="Calibri" w:hAnsi="Calibri"/>
          <w:sz w:val="20"/>
          <w:szCs w:val="20"/>
        </w:rPr>
      </w:pPr>
    </w:p>
    <w:p w:rsidR="005423DA" w:rsidRPr="00707839" w:rsidRDefault="005423DA" w:rsidP="00A47351">
      <w:pPr>
        <w:pStyle w:val="Prrafodelista"/>
        <w:tabs>
          <w:tab w:val="left" w:pos="426"/>
        </w:tabs>
        <w:ind w:left="0"/>
        <w:jc w:val="both"/>
        <w:rPr>
          <w:rFonts w:ascii="Calibri" w:hAnsi="Calibri"/>
          <w:sz w:val="20"/>
          <w:szCs w:val="20"/>
        </w:rPr>
      </w:pPr>
    </w:p>
    <w:p w:rsidR="00760557" w:rsidRPr="00707839" w:rsidRDefault="00760557" w:rsidP="00A47351">
      <w:pPr>
        <w:pStyle w:val="Prrafodelista"/>
        <w:tabs>
          <w:tab w:val="left" w:pos="426"/>
        </w:tabs>
        <w:ind w:left="0"/>
        <w:jc w:val="both"/>
        <w:rPr>
          <w:rFonts w:ascii="Calibri" w:hAnsi="Calibri"/>
          <w:sz w:val="20"/>
          <w:szCs w:val="20"/>
        </w:rPr>
      </w:pPr>
    </w:p>
    <w:p w:rsidR="00760557" w:rsidRPr="00707839" w:rsidRDefault="005423DA" w:rsidP="00CE2F1B">
      <w:pPr>
        <w:pStyle w:val="Prrafodelista"/>
        <w:tabs>
          <w:tab w:val="left" w:pos="426"/>
        </w:tabs>
        <w:ind w:left="0"/>
        <w:jc w:val="center"/>
        <w:rPr>
          <w:rFonts w:ascii="Calibri" w:hAnsi="Calibri"/>
          <w:sz w:val="20"/>
          <w:szCs w:val="20"/>
        </w:rPr>
      </w:pPr>
      <w:r w:rsidRPr="00707839">
        <w:rPr>
          <w:noProof/>
          <w:lang w:eastAsia="es-MX"/>
        </w:rPr>
        <w:drawing>
          <wp:inline distT="0" distB="0" distL="0" distR="0">
            <wp:extent cx="5781675" cy="1181100"/>
            <wp:effectExtent l="0" t="0" r="952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81675" cy="1181100"/>
                    </a:xfrm>
                    <a:prstGeom prst="rect">
                      <a:avLst/>
                    </a:prstGeom>
                    <a:noFill/>
                    <a:ln>
                      <a:noFill/>
                    </a:ln>
                  </pic:spPr>
                </pic:pic>
              </a:graphicData>
            </a:graphic>
          </wp:inline>
        </w:drawing>
      </w:r>
    </w:p>
    <w:p w:rsidR="00A47351" w:rsidRPr="00707839" w:rsidRDefault="00A47351" w:rsidP="00F902FF">
      <w:pPr>
        <w:pStyle w:val="Prrafodelista"/>
        <w:tabs>
          <w:tab w:val="left" w:pos="426"/>
        </w:tabs>
        <w:ind w:left="0"/>
        <w:jc w:val="center"/>
        <w:rPr>
          <w:rFonts w:ascii="Calibri" w:hAnsi="Calibri"/>
          <w:sz w:val="20"/>
          <w:szCs w:val="20"/>
        </w:rPr>
      </w:pPr>
    </w:p>
    <w:p w:rsidR="00AF7224" w:rsidRDefault="00AF7224" w:rsidP="00A47351">
      <w:pPr>
        <w:pStyle w:val="Prrafodelista"/>
        <w:tabs>
          <w:tab w:val="left" w:pos="426"/>
        </w:tabs>
        <w:ind w:left="0"/>
        <w:jc w:val="both"/>
        <w:rPr>
          <w:rFonts w:ascii="Calibri" w:hAnsi="Calibri"/>
          <w:sz w:val="20"/>
          <w:szCs w:val="20"/>
        </w:rPr>
      </w:pPr>
    </w:p>
    <w:p w:rsidR="006E7C7C" w:rsidRDefault="006E7C7C" w:rsidP="00A47351">
      <w:pPr>
        <w:pStyle w:val="Prrafodelista"/>
        <w:tabs>
          <w:tab w:val="left" w:pos="426"/>
        </w:tabs>
        <w:ind w:left="0"/>
        <w:jc w:val="both"/>
        <w:rPr>
          <w:rFonts w:ascii="Calibri" w:hAnsi="Calibri"/>
          <w:sz w:val="20"/>
          <w:szCs w:val="20"/>
        </w:rPr>
      </w:pPr>
    </w:p>
    <w:p w:rsidR="006E7C7C" w:rsidRDefault="006E7C7C" w:rsidP="00A47351">
      <w:pPr>
        <w:pStyle w:val="Prrafodelista"/>
        <w:tabs>
          <w:tab w:val="left" w:pos="426"/>
        </w:tabs>
        <w:ind w:left="0"/>
        <w:jc w:val="both"/>
        <w:rPr>
          <w:rFonts w:ascii="Calibri" w:hAnsi="Calibri"/>
          <w:sz w:val="20"/>
          <w:szCs w:val="20"/>
        </w:rPr>
      </w:pPr>
    </w:p>
    <w:p w:rsidR="006E7C7C" w:rsidRPr="00707839" w:rsidRDefault="006E7C7C" w:rsidP="00A47351">
      <w:pPr>
        <w:pStyle w:val="Prrafodelista"/>
        <w:tabs>
          <w:tab w:val="left" w:pos="426"/>
        </w:tabs>
        <w:ind w:left="0"/>
        <w:jc w:val="both"/>
        <w:rPr>
          <w:rFonts w:ascii="Calibri" w:hAnsi="Calibri"/>
          <w:sz w:val="20"/>
          <w:szCs w:val="20"/>
        </w:rPr>
      </w:pPr>
    </w:p>
    <w:p w:rsidR="00A47351" w:rsidRPr="00707839" w:rsidRDefault="00A47351" w:rsidP="00A47351">
      <w:pPr>
        <w:pStyle w:val="Prrafodelista"/>
        <w:numPr>
          <w:ilvl w:val="3"/>
          <w:numId w:val="34"/>
        </w:numPr>
        <w:tabs>
          <w:tab w:val="left" w:pos="284"/>
        </w:tabs>
        <w:rPr>
          <w:rFonts w:ascii="Calibri" w:hAnsi="Calibri"/>
          <w:sz w:val="20"/>
          <w:szCs w:val="20"/>
        </w:rPr>
      </w:pPr>
      <w:r w:rsidRPr="00707839">
        <w:rPr>
          <w:rFonts w:ascii="Calibri" w:hAnsi="Calibri"/>
          <w:sz w:val="20"/>
          <w:szCs w:val="20"/>
        </w:rPr>
        <w:t>La cuenta de proveedores por pagar a corto plazo se integra de la siguiente manera:</w:t>
      </w:r>
    </w:p>
    <w:p w:rsidR="00A2276B" w:rsidRPr="00707839" w:rsidRDefault="00A2276B" w:rsidP="00A2276B">
      <w:pPr>
        <w:pStyle w:val="Prrafodelista"/>
        <w:tabs>
          <w:tab w:val="left" w:pos="284"/>
        </w:tabs>
        <w:rPr>
          <w:rFonts w:ascii="Calibri" w:hAnsi="Calibri"/>
          <w:sz w:val="20"/>
          <w:szCs w:val="20"/>
        </w:rPr>
      </w:pPr>
    </w:p>
    <w:p w:rsidR="00A47351" w:rsidRPr="00707839" w:rsidRDefault="005423DA" w:rsidP="00CE2F1B">
      <w:pPr>
        <w:pStyle w:val="Prrafodelista"/>
        <w:tabs>
          <w:tab w:val="left" w:pos="284"/>
        </w:tabs>
        <w:ind w:left="0"/>
        <w:jc w:val="center"/>
        <w:rPr>
          <w:rFonts w:ascii="Calibri" w:hAnsi="Calibri"/>
          <w:sz w:val="20"/>
          <w:szCs w:val="20"/>
        </w:rPr>
      </w:pPr>
      <w:r w:rsidRPr="00707839">
        <w:rPr>
          <w:noProof/>
          <w:lang w:eastAsia="es-MX"/>
        </w:rPr>
        <w:lastRenderedPageBreak/>
        <w:drawing>
          <wp:inline distT="0" distB="0" distL="0" distR="0">
            <wp:extent cx="6105525" cy="3590925"/>
            <wp:effectExtent l="0" t="0" r="9525"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05525" cy="3590925"/>
                    </a:xfrm>
                    <a:prstGeom prst="rect">
                      <a:avLst/>
                    </a:prstGeom>
                    <a:noFill/>
                    <a:ln>
                      <a:noFill/>
                    </a:ln>
                  </pic:spPr>
                </pic:pic>
              </a:graphicData>
            </a:graphic>
          </wp:inline>
        </w:drawing>
      </w:r>
    </w:p>
    <w:p w:rsidR="00FC3CAE" w:rsidRPr="00707839" w:rsidRDefault="00FC3CAE" w:rsidP="00790119">
      <w:pPr>
        <w:pStyle w:val="Prrafodelista"/>
        <w:tabs>
          <w:tab w:val="left" w:pos="284"/>
        </w:tabs>
        <w:ind w:left="0"/>
        <w:jc w:val="center"/>
        <w:rPr>
          <w:rFonts w:ascii="Calibri" w:hAnsi="Calibri"/>
          <w:sz w:val="20"/>
          <w:szCs w:val="20"/>
        </w:rPr>
      </w:pPr>
    </w:p>
    <w:p w:rsidR="00CB5FAA" w:rsidRPr="00707839" w:rsidRDefault="00CB5FAA" w:rsidP="00A47351">
      <w:pPr>
        <w:pStyle w:val="Prrafodelista"/>
        <w:tabs>
          <w:tab w:val="left" w:pos="284"/>
        </w:tabs>
        <w:ind w:left="0"/>
        <w:rPr>
          <w:rFonts w:ascii="Calibri" w:hAnsi="Calibri"/>
          <w:sz w:val="20"/>
          <w:szCs w:val="20"/>
        </w:rPr>
      </w:pPr>
    </w:p>
    <w:p w:rsidR="00A47351" w:rsidRDefault="00A47351" w:rsidP="00A47351">
      <w:pPr>
        <w:pStyle w:val="Prrafodelista"/>
        <w:numPr>
          <w:ilvl w:val="0"/>
          <w:numId w:val="18"/>
        </w:numPr>
        <w:tabs>
          <w:tab w:val="left" w:pos="284"/>
        </w:tabs>
        <w:ind w:left="0" w:firstLine="0"/>
        <w:jc w:val="both"/>
        <w:rPr>
          <w:rFonts w:ascii="Calibri" w:hAnsi="Calibri"/>
          <w:sz w:val="20"/>
          <w:szCs w:val="20"/>
        </w:rPr>
      </w:pPr>
      <w:r w:rsidRPr="00707839">
        <w:rPr>
          <w:rFonts w:ascii="Calibri" w:hAnsi="Calibri"/>
          <w:sz w:val="20"/>
          <w:szCs w:val="20"/>
        </w:rPr>
        <w:t>Los saldos de proveedores en general presentan con una antigüedad no mayor a 90 días naturales, debido que existe la política de pago de 7 días hábiles posteriores a la entrega del comprobante fiscal a la Dirección de Administración y Finanzas del FIGAROSY.</w:t>
      </w:r>
    </w:p>
    <w:p w:rsidR="006E7C7C" w:rsidRDefault="006E7C7C" w:rsidP="006E7C7C">
      <w:pPr>
        <w:tabs>
          <w:tab w:val="left" w:pos="284"/>
        </w:tabs>
        <w:jc w:val="both"/>
        <w:rPr>
          <w:rFonts w:ascii="Calibri" w:hAnsi="Calibri"/>
          <w:sz w:val="20"/>
          <w:szCs w:val="20"/>
        </w:rPr>
      </w:pPr>
    </w:p>
    <w:p w:rsidR="006E7C7C" w:rsidRDefault="006E7C7C" w:rsidP="006E7C7C">
      <w:pPr>
        <w:tabs>
          <w:tab w:val="left" w:pos="284"/>
        </w:tabs>
        <w:jc w:val="both"/>
        <w:rPr>
          <w:rFonts w:ascii="Calibri" w:hAnsi="Calibri"/>
          <w:sz w:val="20"/>
          <w:szCs w:val="20"/>
        </w:rPr>
      </w:pPr>
    </w:p>
    <w:p w:rsidR="006E7C7C" w:rsidRDefault="006E7C7C" w:rsidP="006E7C7C">
      <w:pPr>
        <w:tabs>
          <w:tab w:val="left" w:pos="284"/>
        </w:tabs>
        <w:jc w:val="both"/>
        <w:rPr>
          <w:rFonts w:ascii="Calibri" w:hAnsi="Calibri"/>
          <w:sz w:val="20"/>
          <w:szCs w:val="20"/>
        </w:rPr>
      </w:pPr>
    </w:p>
    <w:p w:rsidR="006E7C7C" w:rsidRDefault="006E7C7C" w:rsidP="006E7C7C">
      <w:pPr>
        <w:tabs>
          <w:tab w:val="left" w:pos="284"/>
        </w:tabs>
        <w:jc w:val="both"/>
        <w:rPr>
          <w:rFonts w:ascii="Calibri" w:hAnsi="Calibri"/>
          <w:sz w:val="20"/>
          <w:szCs w:val="20"/>
        </w:rPr>
      </w:pPr>
    </w:p>
    <w:p w:rsidR="006E7C7C" w:rsidRDefault="006E7C7C" w:rsidP="006E7C7C">
      <w:pPr>
        <w:tabs>
          <w:tab w:val="left" w:pos="284"/>
        </w:tabs>
        <w:jc w:val="both"/>
        <w:rPr>
          <w:rFonts w:ascii="Calibri" w:hAnsi="Calibri"/>
          <w:sz w:val="20"/>
          <w:szCs w:val="20"/>
        </w:rPr>
      </w:pPr>
    </w:p>
    <w:p w:rsidR="006E7C7C" w:rsidRDefault="006E7C7C" w:rsidP="006E7C7C">
      <w:pPr>
        <w:tabs>
          <w:tab w:val="left" w:pos="284"/>
        </w:tabs>
        <w:jc w:val="both"/>
        <w:rPr>
          <w:rFonts w:ascii="Calibri" w:hAnsi="Calibri"/>
          <w:sz w:val="20"/>
          <w:szCs w:val="20"/>
        </w:rPr>
      </w:pPr>
    </w:p>
    <w:p w:rsidR="006E7C7C" w:rsidRPr="006E7C7C" w:rsidRDefault="006E7C7C" w:rsidP="006E7C7C">
      <w:pPr>
        <w:tabs>
          <w:tab w:val="left" w:pos="284"/>
        </w:tabs>
        <w:jc w:val="both"/>
        <w:rPr>
          <w:rFonts w:ascii="Calibri" w:hAnsi="Calibri"/>
          <w:sz w:val="20"/>
          <w:szCs w:val="20"/>
        </w:rPr>
      </w:pPr>
    </w:p>
    <w:p w:rsidR="00A47351" w:rsidRPr="00707839" w:rsidRDefault="00A47351" w:rsidP="00A47351">
      <w:pPr>
        <w:pStyle w:val="Prrafodelista"/>
        <w:tabs>
          <w:tab w:val="left" w:pos="426"/>
        </w:tabs>
        <w:ind w:left="0"/>
        <w:jc w:val="right"/>
        <w:rPr>
          <w:rFonts w:ascii="Calibri" w:hAnsi="Calibri"/>
          <w:sz w:val="20"/>
          <w:szCs w:val="20"/>
        </w:rPr>
      </w:pPr>
    </w:p>
    <w:p w:rsidR="00A47351" w:rsidRPr="00707839" w:rsidRDefault="00A47351" w:rsidP="00A47351">
      <w:pPr>
        <w:pStyle w:val="Prrafodelista"/>
        <w:numPr>
          <w:ilvl w:val="3"/>
          <w:numId w:val="34"/>
        </w:numPr>
        <w:tabs>
          <w:tab w:val="left" w:pos="284"/>
        </w:tabs>
        <w:rPr>
          <w:rFonts w:ascii="Calibri" w:hAnsi="Calibri"/>
          <w:sz w:val="20"/>
          <w:szCs w:val="20"/>
        </w:rPr>
      </w:pPr>
      <w:r w:rsidRPr="00707839">
        <w:rPr>
          <w:rFonts w:ascii="Calibri" w:hAnsi="Calibri"/>
          <w:sz w:val="20"/>
          <w:szCs w:val="20"/>
        </w:rPr>
        <w:t>La cuenta de retenciones y contribuciones se integra de la siguiente manera:</w:t>
      </w:r>
    </w:p>
    <w:p w:rsidR="00790119" w:rsidRPr="00707839" w:rsidRDefault="00790119" w:rsidP="00790119">
      <w:pPr>
        <w:pStyle w:val="Prrafodelista"/>
        <w:tabs>
          <w:tab w:val="left" w:pos="284"/>
        </w:tabs>
        <w:rPr>
          <w:noProof/>
          <w:lang w:eastAsia="es-MX"/>
        </w:rPr>
      </w:pPr>
    </w:p>
    <w:p w:rsidR="00760557" w:rsidRPr="00707839" w:rsidRDefault="005423DA" w:rsidP="00E24811">
      <w:pPr>
        <w:pStyle w:val="Prrafodelista"/>
        <w:tabs>
          <w:tab w:val="left" w:pos="284"/>
        </w:tabs>
        <w:jc w:val="center"/>
        <w:rPr>
          <w:noProof/>
          <w:lang w:eastAsia="es-MX"/>
        </w:rPr>
      </w:pPr>
      <w:r w:rsidRPr="00707839">
        <w:rPr>
          <w:noProof/>
          <w:lang w:eastAsia="es-MX"/>
        </w:rPr>
        <w:lastRenderedPageBreak/>
        <w:drawing>
          <wp:inline distT="0" distB="0" distL="0" distR="0">
            <wp:extent cx="6105525" cy="4381500"/>
            <wp:effectExtent l="0" t="0" r="952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05525" cy="4381500"/>
                    </a:xfrm>
                    <a:prstGeom prst="rect">
                      <a:avLst/>
                    </a:prstGeom>
                    <a:noFill/>
                    <a:ln>
                      <a:noFill/>
                    </a:ln>
                  </pic:spPr>
                </pic:pic>
              </a:graphicData>
            </a:graphic>
          </wp:inline>
        </w:drawing>
      </w:r>
    </w:p>
    <w:p w:rsidR="00760557" w:rsidRPr="00707839" w:rsidRDefault="00760557" w:rsidP="00790119">
      <w:pPr>
        <w:pStyle w:val="Prrafodelista"/>
        <w:tabs>
          <w:tab w:val="left" w:pos="284"/>
        </w:tabs>
        <w:rPr>
          <w:noProof/>
          <w:lang w:eastAsia="es-MX"/>
        </w:rPr>
      </w:pPr>
    </w:p>
    <w:p w:rsidR="00760557" w:rsidRPr="00707839" w:rsidRDefault="00760557" w:rsidP="00790119">
      <w:pPr>
        <w:pStyle w:val="Prrafodelista"/>
        <w:tabs>
          <w:tab w:val="left" w:pos="284"/>
        </w:tabs>
        <w:rPr>
          <w:rFonts w:ascii="Calibri" w:hAnsi="Calibri"/>
          <w:sz w:val="20"/>
          <w:szCs w:val="20"/>
        </w:rPr>
      </w:pPr>
    </w:p>
    <w:p w:rsidR="00A47351" w:rsidRPr="00707839" w:rsidRDefault="00A47351" w:rsidP="00A47351">
      <w:pPr>
        <w:pStyle w:val="Prrafodelista"/>
        <w:numPr>
          <w:ilvl w:val="0"/>
          <w:numId w:val="8"/>
        </w:numPr>
        <w:tabs>
          <w:tab w:val="left" w:pos="284"/>
        </w:tabs>
        <w:ind w:left="0" w:firstLine="0"/>
        <w:jc w:val="both"/>
        <w:rPr>
          <w:rFonts w:ascii="Calibri" w:hAnsi="Calibri"/>
          <w:sz w:val="20"/>
          <w:szCs w:val="20"/>
        </w:rPr>
      </w:pPr>
      <w:r w:rsidRPr="00707839">
        <w:rPr>
          <w:rFonts w:ascii="Calibri" w:hAnsi="Calibri"/>
          <w:sz w:val="20"/>
          <w:szCs w:val="20"/>
        </w:rPr>
        <w:t xml:space="preserve">Los saldos de retenciones y contribuciones presentados, corresponden al mes de </w:t>
      </w:r>
      <w:r w:rsidR="005423DA" w:rsidRPr="00707839">
        <w:rPr>
          <w:rFonts w:ascii="Calibri" w:hAnsi="Calibri"/>
          <w:sz w:val="20"/>
          <w:szCs w:val="20"/>
        </w:rPr>
        <w:t>mayo</w:t>
      </w:r>
      <w:r w:rsidR="001919F7" w:rsidRPr="00707839">
        <w:rPr>
          <w:rFonts w:ascii="Calibri" w:hAnsi="Calibri"/>
          <w:sz w:val="20"/>
          <w:szCs w:val="20"/>
        </w:rPr>
        <w:t xml:space="preserve"> </w:t>
      </w:r>
      <w:r w:rsidRPr="00707839">
        <w:rPr>
          <w:rFonts w:ascii="Calibri" w:hAnsi="Calibri"/>
          <w:sz w:val="20"/>
          <w:szCs w:val="20"/>
        </w:rPr>
        <w:t>de 202</w:t>
      </w:r>
      <w:r w:rsidR="00F902FF" w:rsidRPr="00707839">
        <w:rPr>
          <w:rFonts w:ascii="Calibri" w:hAnsi="Calibri"/>
          <w:sz w:val="20"/>
          <w:szCs w:val="20"/>
        </w:rPr>
        <w:t>2</w:t>
      </w:r>
      <w:r w:rsidRPr="00707839">
        <w:rPr>
          <w:rFonts w:ascii="Calibri" w:hAnsi="Calibri"/>
          <w:sz w:val="20"/>
          <w:szCs w:val="20"/>
        </w:rPr>
        <w:t xml:space="preserve"> y son pagaderos al mes siguiente.</w:t>
      </w:r>
    </w:p>
    <w:p w:rsidR="00A47351" w:rsidRPr="00707839" w:rsidRDefault="00A47351" w:rsidP="00A47351">
      <w:pPr>
        <w:pStyle w:val="Prrafodelista"/>
        <w:tabs>
          <w:tab w:val="left" w:pos="426"/>
        </w:tabs>
        <w:ind w:left="0"/>
        <w:jc w:val="both"/>
        <w:rPr>
          <w:rFonts w:ascii="Calibri" w:hAnsi="Calibri"/>
          <w:sz w:val="20"/>
          <w:szCs w:val="20"/>
        </w:rPr>
      </w:pPr>
    </w:p>
    <w:p w:rsidR="00A47351" w:rsidRPr="00707839" w:rsidRDefault="00A47351" w:rsidP="00A47351">
      <w:pPr>
        <w:pStyle w:val="Prrafodelista"/>
        <w:numPr>
          <w:ilvl w:val="0"/>
          <w:numId w:val="8"/>
        </w:numPr>
        <w:tabs>
          <w:tab w:val="left" w:pos="284"/>
        </w:tabs>
        <w:ind w:left="0" w:firstLine="0"/>
        <w:jc w:val="both"/>
        <w:rPr>
          <w:rFonts w:ascii="Calibri" w:hAnsi="Calibri"/>
          <w:sz w:val="20"/>
          <w:szCs w:val="20"/>
        </w:rPr>
      </w:pPr>
      <w:r w:rsidRPr="00707839">
        <w:rPr>
          <w:rFonts w:ascii="Calibri" w:hAnsi="Calibri"/>
          <w:sz w:val="20"/>
          <w:szCs w:val="20"/>
        </w:rPr>
        <w:t>Las contribuciones federales (ISR salarios, ISR asimilable a salarios, ISR retención de honorarios, ISR arrendamiento de edificio) son enteradas y pagadas a la autoridad fiscal correspondiente a más tardar el 17 del mes de calendario inmediato posterior al de terminación del período de la retención.</w:t>
      </w:r>
    </w:p>
    <w:p w:rsidR="00A47351" w:rsidRPr="00707839" w:rsidRDefault="00A47351" w:rsidP="00A47351">
      <w:pPr>
        <w:pStyle w:val="Prrafodelista"/>
        <w:tabs>
          <w:tab w:val="left" w:pos="426"/>
        </w:tabs>
        <w:ind w:left="0"/>
        <w:jc w:val="both"/>
        <w:rPr>
          <w:rFonts w:ascii="Calibri" w:hAnsi="Calibri"/>
          <w:sz w:val="20"/>
          <w:szCs w:val="20"/>
        </w:rPr>
      </w:pPr>
    </w:p>
    <w:p w:rsidR="00A47351" w:rsidRPr="00707839" w:rsidRDefault="00A47351" w:rsidP="00A47351">
      <w:pPr>
        <w:pStyle w:val="Prrafodelista"/>
        <w:numPr>
          <w:ilvl w:val="0"/>
          <w:numId w:val="8"/>
        </w:numPr>
        <w:tabs>
          <w:tab w:val="left" w:pos="284"/>
        </w:tabs>
        <w:ind w:left="0" w:firstLine="0"/>
        <w:jc w:val="both"/>
        <w:rPr>
          <w:rFonts w:ascii="Calibri" w:hAnsi="Calibri"/>
          <w:sz w:val="20"/>
          <w:szCs w:val="20"/>
        </w:rPr>
      </w:pPr>
      <w:r w:rsidRPr="00707839">
        <w:rPr>
          <w:rFonts w:ascii="Calibri" w:hAnsi="Calibri"/>
          <w:sz w:val="20"/>
          <w:szCs w:val="20"/>
        </w:rPr>
        <w:t>Las contribuciones estatales (4 % sobre nómina) son enteradas y pagadas a la autoridad fiscal correspondiente a más tardar el 10 del mes de calendario inmediato posterior al de terminación del período de la retención.</w:t>
      </w:r>
    </w:p>
    <w:p w:rsidR="00A47351" w:rsidRPr="00707839" w:rsidRDefault="00A47351" w:rsidP="00A47351">
      <w:pPr>
        <w:pStyle w:val="Prrafodelista"/>
        <w:tabs>
          <w:tab w:val="left" w:pos="284"/>
        </w:tabs>
        <w:ind w:left="0"/>
        <w:jc w:val="both"/>
        <w:rPr>
          <w:rFonts w:ascii="Calibri" w:hAnsi="Calibri"/>
          <w:sz w:val="20"/>
          <w:szCs w:val="20"/>
        </w:rPr>
      </w:pPr>
    </w:p>
    <w:p w:rsidR="00A47351" w:rsidRPr="00707839" w:rsidRDefault="00A47351" w:rsidP="00A47351">
      <w:pPr>
        <w:pStyle w:val="Prrafodelista"/>
        <w:numPr>
          <w:ilvl w:val="3"/>
          <w:numId w:val="34"/>
        </w:numPr>
        <w:tabs>
          <w:tab w:val="left" w:pos="284"/>
        </w:tabs>
        <w:ind w:left="0" w:firstLine="0"/>
        <w:jc w:val="both"/>
        <w:rPr>
          <w:rFonts w:ascii="Calibri" w:hAnsi="Calibri" w:cs="Arial"/>
          <w:bCs/>
          <w:sz w:val="20"/>
          <w:szCs w:val="20"/>
        </w:rPr>
      </w:pPr>
      <w:r w:rsidRPr="00707839">
        <w:rPr>
          <w:rFonts w:ascii="Calibri" w:hAnsi="Calibri" w:cs="Arial"/>
          <w:bCs/>
          <w:sz w:val="20"/>
          <w:szCs w:val="20"/>
        </w:rPr>
        <w:t>La cuenta de otras cuentas por pagar a corto plazo, acumula los reembolsos de fondos fijos asignados al personal adscrito al Fideicomiso y los derechos migratorios de directores artísticos y solistas extranjeros invitados que se presentan en los conciertos de la Orquesta Sinfónica de Yucatán.</w:t>
      </w:r>
    </w:p>
    <w:p w:rsidR="00A47351" w:rsidRPr="00707839" w:rsidRDefault="00A47351" w:rsidP="00A47351">
      <w:pPr>
        <w:pStyle w:val="Prrafodelista"/>
        <w:tabs>
          <w:tab w:val="left" w:pos="284"/>
        </w:tabs>
        <w:ind w:left="0"/>
        <w:jc w:val="both"/>
        <w:rPr>
          <w:rFonts w:ascii="Calibri" w:hAnsi="Calibri" w:cs="Arial"/>
          <w:bCs/>
          <w:sz w:val="20"/>
          <w:szCs w:val="20"/>
        </w:rPr>
      </w:pPr>
    </w:p>
    <w:p w:rsidR="00A47351" w:rsidRPr="00707839" w:rsidRDefault="00A47351" w:rsidP="00A47351">
      <w:pPr>
        <w:pStyle w:val="Prrafodelista"/>
        <w:numPr>
          <w:ilvl w:val="3"/>
          <w:numId w:val="34"/>
        </w:numPr>
        <w:tabs>
          <w:tab w:val="left" w:pos="284"/>
        </w:tabs>
        <w:ind w:left="0" w:firstLine="0"/>
        <w:jc w:val="both"/>
        <w:rPr>
          <w:rFonts w:ascii="Calibri" w:hAnsi="Calibri" w:cs="Arial"/>
          <w:bCs/>
          <w:sz w:val="20"/>
          <w:szCs w:val="20"/>
        </w:rPr>
      </w:pPr>
      <w:r w:rsidRPr="00707839">
        <w:rPr>
          <w:rFonts w:ascii="Calibri" w:hAnsi="Calibri" w:cs="Arial"/>
          <w:bCs/>
          <w:sz w:val="20"/>
          <w:szCs w:val="20"/>
        </w:rPr>
        <w:t>El FIGAROSY no tiene pasivos contingentes en sus re</w:t>
      </w:r>
      <w:r w:rsidR="00343301" w:rsidRPr="00707839">
        <w:rPr>
          <w:rFonts w:ascii="Calibri" w:hAnsi="Calibri" w:cs="Arial"/>
          <w:bCs/>
          <w:sz w:val="20"/>
          <w:szCs w:val="20"/>
        </w:rPr>
        <w:t xml:space="preserve">gistros contables </w:t>
      </w:r>
      <w:r w:rsidR="00BD2A58" w:rsidRPr="00707839">
        <w:rPr>
          <w:rFonts w:ascii="Calibri" w:hAnsi="Calibri" w:cs="Arial"/>
          <w:bCs/>
          <w:sz w:val="20"/>
          <w:szCs w:val="20"/>
        </w:rPr>
        <w:t xml:space="preserve">al </w:t>
      </w:r>
      <w:r w:rsidR="001A2FAC" w:rsidRPr="00707839">
        <w:rPr>
          <w:rFonts w:ascii="Calibri" w:hAnsi="Calibri" w:cs="Arial"/>
          <w:bCs/>
          <w:sz w:val="20"/>
          <w:szCs w:val="20"/>
        </w:rPr>
        <w:t>31 de Mayo de 2022</w:t>
      </w:r>
      <w:r w:rsidRPr="00707839">
        <w:rPr>
          <w:rFonts w:ascii="Calibri" w:hAnsi="Calibri" w:cs="Arial"/>
          <w:bCs/>
          <w:sz w:val="20"/>
          <w:szCs w:val="20"/>
        </w:rPr>
        <w:t>.</w:t>
      </w:r>
    </w:p>
    <w:p w:rsidR="00A47351" w:rsidRPr="00707839" w:rsidRDefault="00A47351" w:rsidP="00A47351">
      <w:pPr>
        <w:tabs>
          <w:tab w:val="left" w:pos="284"/>
        </w:tabs>
        <w:ind w:firstLine="708"/>
        <w:rPr>
          <w:rFonts w:ascii="Calibri" w:hAnsi="Calibri" w:cs="Arial"/>
          <w:bCs/>
          <w:sz w:val="20"/>
          <w:szCs w:val="20"/>
        </w:rPr>
      </w:pPr>
    </w:p>
    <w:p w:rsidR="00A47351" w:rsidRPr="00707839" w:rsidRDefault="00A47351" w:rsidP="00A47351">
      <w:pPr>
        <w:pStyle w:val="Prrafodelista"/>
        <w:numPr>
          <w:ilvl w:val="0"/>
          <w:numId w:val="34"/>
        </w:numPr>
        <w:tabs>
          <w:tab w:val="left" w:pos="284"/>
        </w:tabs>
        <w:rPr>
          <w:rFonts w:ascii="Calibri" w:hAnsi="Calibri"/>
          <w:b/>
          <w:sz w:val="20"/>
          <w:szCs w:val="20"/>
        </w:rPr>
      </w:pPr>
      <w:r w:rsidRPr="00707839">
        <w:rPr>
          <w:rFonts w:ascii="Calibri" w:hAnsi="Calibri"/>
          <w:b/>
          <w:sz w:val="20"/>
          <w:szCs w:val="20"/>
        </w:rPr>
        <w:t>NOTAS AL ESTADO DE ACTIVIDADES.</w:t>
      </w:r>
    </w:p>
    <w:p w:rsidR="00A47351" w:rsidRPr="00707839" w:rsidRDefault="00A47351" w:rsidP="00A47351">
      <w:pPr>
        <w:tabs>
          <w:tab w:val="left" w:pos="426"/>
        </w:tabs>
        <w:rPr>
          <w:rFonts w:ascii="Calibri" w:hAnsi="Calibri"/>
          <w:b/>
          <w:sz w:val="20"/>
          <w:szCs w:val="20"/>
        </w:rPr>
      </w:pPr>
    </w:p>
    <w:p w:rsidR="00A47351" w:rsidRPr="00707839" w:rsidRDefault="00A47351" w:rsidP="00A47351">
      <w:pPr>
        <w:pStyle w:val="Prrafodelista"/>
        <w:tabs>
          <w:tab w:val="left" w:pos="426"/>
        </w:tabs>
        <w:ind w:left="0"/>
        <w:rPr>
          <w:rFonts w:ascii="Calibri" w:hAnsi="Calibri"/>
          <w:b/>
          <w:sz w:val="20"/>
          <w:szCs w:val="20"/>
        </w:rPr>
      </w:pPr>
      <w:r w:rsidRPr="00707839">
        <w:rPr>
          <w:rFonts w:ascii="Calibri" w:hAnsi="Calibri"/>
          <w:b/>
          <w:sz w:val="20"/>
          <w:szCs w:val="20"/>
        </w:rPr>
        <w:t>2.1 Ingresos de gestión.</w:t>
      </w:r>
    </w:p>
    <w:p w:rsidR="00A47351" w:rsidRPr="00707839" w:rsidRDefault="00A47351" w:rsidP="00A47351">
      <w:pPr>
        <w:pStyle w:val="Prrafodelista"/>
        <w:tabs>
          <w:tab w:val="left" w:pos="426"/>
        </w:tabs>
        <w:ind w:left="0"/>
        <w:rPr>
          <w:rFonts w:ascii="Calibri" w:hAnsi="Calibri"/>
          <w:b/>
          <w:sz w:val="20"/>
          <w:szCs w:val="20"/>
        </w:rPr>
      </w:pPr>
    </w:p>
    <w:p w:rsidR="00A47351" w:rsidRPr="00707839" w:rsidRDefault="00A47351" w:rsidP="00A47351">
      <w:pPr>
        <w:pStyle w:val="Prrafodelista"/>
        <w:tabs>
          <w:tab w:val="left" w:pos="426"/>
        </w:tabs>
        <w:ind w:left="0"/>
        <w:rPr>
          <w:rFonts w:ascii="Calibri" w:hAnsi="Calibri"/>
          <w:b/>
          <w:sz w:val="20"/>
          <w:szCs w:val="20"/>
        </w:rPr>
      </w:pPr>
      <w:r w:rsidRPr="00707839">
        <w:rPr>
          <w:rFonts w:ascii="Calibri" w:hAnsi="Calibri"/>
          <w:b/>
          <w:sz w:val="20"/>
          <w:szCs w:val="20"/>
        </w:rPr>
        <w:t>2.1.1 Productos.</w:t>
      </w:r>
    </w:p>
    <w:p w:rsidR="00A47351" w:rsidRPr="00707839" w:rsidRDefault="00A47351" w:rsidP="00A47351">
      <w:pPr>
        <w:pStyle w:val="Prrafodelista"/>
        <w:tabs>
          <w:tab w:val="left" w:pos="426"/>
        </w:tabs>
        <w:ind w:left="0"/>
        <w:rPr>
          <w:rFonts w:ascii="Calibri" w:hAnsi="Calibri"/>
          <w:b/>
          <w:sz w:val="20"/>
          <w:szCs w:val="20"/>
        </w:rPr>
      </w:pPr>
    </w:p>
    <w:p w:rsidR="00A47351" w:rsidRPr="00707839" w:rsidRDefault="00A47351" w:rsidP="00A47351">
      <w:pPr>
        <w:pStyle w:val="Prrafodelista"/>
        <w:tabs>
          <w:tab w:val="left" w:pos="0"/>
          <w:tab w:val="left" w:pos="284"/>
          <w:tab w:val="left" w:pos="426"/>
          <w:tab w:val="left" w:pos="567"/>
        </w:tabs>
        <w:ind w:left="0"/>
        <w:jc w:val="both"/>
        <w:rPr>
          <w:rFonts w:ascii="Calibri" w:hAnsi="Calibri"/>
          <w:sz w:val="20"/>
          <w:szCs w:val="20"/>
        </w:rPr>
      </w:pPr>
      <w:r w:rsidRPr="00707839">
        <w:rPr>
          <w:rFonts w:ascii="Calibri" w:hAnsi="Calibri"/>
          <w:sz w:val="20"/>
          <w:szCs w:val="20"/>
        </w:rPr>
        <w:t>La cuenta de ingresos financieros acumula los rendimientos devengados por la inversión en Nacional Financiera así como las cuentas bancarias; del 1</w:t>
      </w:r>
      <w:r w:rsidR="00343301" w:rsidRPr="00707839">
        <w:rPr>
          <w:rFonts w:ascii="Calibri" w:hAnsi="Calibri"/>
          <w:sz w:val="20"/>
          <w:szCs w:val="20"/>
        </w:rPr>
        <w:t xml:space="preserve"> de </w:t>
      </w:r>
      <w:r w:rsidR="001919F7" w:rsidRPr="00707839">
        <w:rPr>
          <w:rFonts w:ascii="Calibri" w:hAnsi="Calibri"/>
          <w:sz w:val="20"/>
          <w:szCs w:val="20"/>
        </w:rPr>
        <w:t>enero</w:t>
      </w:r>
      <w:r w:rsidR="00343301" w:rsidRPr="00707839">
        <w:rPr>
          <w:rFonts w:ascii="Calibri" w:hAnsi="Calibri"/>
          <w:sz w:val="20"/>
          <w:szCs w:val="20"/>
        </w:rPr>
        <w:t xml:space="preserve"> </w:t>
      </w:r>
      <w:r w:rsidR="00BD2A58" w:rsidRPr="00707839">
        <w:rPr>
          <w:rFonts w:ascii="Calibri" w:hAnsi="Calibri"/>
          <w:sz w:val="20"/>
          <w:szCs w:val="20"/>
        </w:rPr>
        <w:t xml:space="preserve">al </w:t>
      </w:r>
      <w:r w:rsidR="001A2FAC" w:rsidRPr="00707839">
        <w:rPr>
          <w:rFonts w:ascii="Calibri" w:hAnsi="Calibri"/>
          <w:sz w:val="20"/>
          <w:szCs w:val="20"/>
        </w:rPr>
        <w:t>31 de Mayo de 2022</w:t>
      </w:r>
      <w:r w:rsidR="001919F7" w:rsidRPr="00707839">
        <w:rPr>
          <w:rFonts w:ascii="Calibri" w:hAnsi="Calibri"/>
          <w:sz w:val="20"/>
          <w:szCs w:val="20"/>
        </w:rPr>
        <w:t xml:space="preserve"> asciende</w:t>
      </w:r>
      <w:r w:rsidRPr="00707839">
        <w:rPr>
          <w:rFonts w:ascii="Calibri" w:hAnsi="Calibri"/>
          <w:sz w:val="20"/>
          <w:szCs w:val="20"/>
        </w:rPr>
        <w:t xml:space="preserve"> a la cantidad </w:t>
      </w:r>
      <w:r w:rsidR="00CE2F1B" w:rsidRPr="00707839">
        <w:rPr>
          <w:rFonts w:ascii="Calibri" w:hAnsi="Calibri"/>
          <w:sz w:val="20"/>
          <w:szCs w:val="20"/>
        </w:rPr>
        <w:t>de $</w:t>
      </w:r>
      <w:r w:rsidR="00E24811" w:rsidRPr="00707839">
        <w:rPr>
          <w:rFonts w:ascii="Calibri" w:hAnsi="Calibri"/>
          <w:sz w:val="20"/>
          <w:szCs w:val="20"/>
        </w:rPr>
        <w:t>35,662.45</w:t>
      </w:r>
      <w:r w:rsidR="00CE2F1B" w:rsidRPr="00707839">
        <w:rPr>
          <w:rFonts w:ascii="Calibri" w:hAnsi="Calibri"/>
          <w:sz w:val="20"/>
          <w:szCs w:val="20"/>
        </w:rPr>
        <w:t xml:space="preserve"> </w:t>
      </w:r>
      <w:r w:rsidRPr="00707839">
        <w:rPr>
          <w:rFonts w:ascii="Calibri" w:hAnsi="Calibri"/>
          <w:sz w:val="20"/>
          <w:szCs w:val="20"/>
        </w:rPr>
        <w:t>y se integra de la siguiente manera:</w:t>
      </w:r>
    </w:p>
    <w:p w:rsidR="00CE2F1B" w:rsidRPr="00707839" w:rsidRDefault="00CE2F1B" w:rsidP="00A47351">
      <w:pPr>
        <w:pStyle w:val="Prrafodelista"/>
        <w:tabs>
          <w:tab w:val="left" w:pos="0"/>
          <w:tab w:val="left" w:pos="284"/>
          <w:tab w:val="left" w:pos="426"/>
          <w:tab w:val="left" w:pos="567"/>
        </w:tabs>
        <w:ind w:left="0"/>
        <w:jc w:val="both"/>
        <w:rPr>
          <w:rFonts w:ascii="Calibri" w:hAnsi="Calibri"/>
          <w:sz w:val="20"/>
          <w:szCs w:val="20"/>
        </w:rPr>
      </w:pPr>
    </w:p>
    <w:p w:rsidR="006C4075" w:rsidRPr="00707839" w:rsidRDefault="006C4075" w:rsidP="00760557">
      <w:pPr>
        <w:pStyle w:val="Prrafodelista"/>
        <w:tabs>
          <w:tab w:val="left" w:pos="0"/>
          <w:tab w:val="left" w:pos="284"/>
          <w:tab w:val="left" w:pos="426"/>
          <w:tab w:val="left" w:pos="567"/>
        </w:tabs>
        <w:ind w:left="0"/>
        <w:jc w:val="center"/>
        <w:rPr>
          <w:rFonts w:ascii="Calibri" w:hAnsi="Calibri"/>
          <w:sz w:val="20"/>
          <w:szCs w:val="20"/>
        </w:rPr>
      </w:pPr>
    </w:p>
    <w:p w:rsidR="00D729B1" w:rsidRPr="00707839" w:rsidRDefault="00D729B1" w:rsidP="00D729B1">
      <w:pPr>
        <w:pStyle w:val="Prrafodelista"/>
        <w:tabs>
          <w:tab w:val="left" w:pos="0"/>
          <w:tab w:val="left" w:pos="284"/>
          <w:tab w:val="left" w:pos="426"/>
          <w:tab w:val="left" w:pos="567"/>
        </w:tabs>
        <w:ind w:left="0"/>
        <w:jc w:val="center"/>
        <w:rPr>
          <w:rFonts w:ascii="Calibri" w:hAnsi="Calibri"/>
          <w:sz w:val="20"/>
          <w:szCs w:val="20"/>
        </w:rPr>
      </w:pPr>
    </w:p>
    <w:p w:rsidR="006E7C7C" w:rsidRDefault="006E7C7C" w:rsidP="00D729B1">
      <w:pPr>
        <w:pStyle w:val="Prrafodelista"/>
        <w:tabs>
          <w:tab w:val="left" w:pos="0"/>
          <w:tab w:val="left" w:pos="284"/>
          <w:tab w:val="left" w:pos="426"/>
          <w:tab w:val="left" w:pos="567"/>
        </w:tabs>
        <w:ind w:left="0"/>
        <w:jc w:val="center"/>
        <w:rPr>
          <w:rFonts w:ascii="Calibri" w:hAnsi="Calibri"/>
          <w:sz w:val="20"/>
          <w:szCs w:val="20"/>
        </w:rPr>
      </w:pPr>
    </w:p>
    <w:p w:rsidR="00A2276B" w:rsidRPr="00707839" w:rsidRDefault="00F42CF0" w:rsidP="00D729B1">
      <w:pPr>
        <w:pStyle w:val="Prrafodelista"/>
        <w:tabs>
          <w:tab w:val="left" w:pos="0"/>
          <w:tab w:val="left" w:pos="284"/>
          <w:tab w:val="left" w:pos="426"/>
          <w:tab w:val="left" w:pos="567"/>
        </w:tabs>
        <w:ind w:left="0"/>
        <w:jc w:val="center"/>
        <w:rPr>
          <w:rFonts w:ascii="Calibri" w:hAnsi="Calibri"/>
          <w:sz w:val="20"/>
          <w:szCs w:val="20"/>
        </w:rPr>
      </w:pPr>
      <w:r w:rsidRPr="00707839">
        <w:rPr>
          <w:noProof/>
          <w:lang w:eastAsia="es-MX"/>
        </w:rPr>
        <w:drawing>
          <wp:inline distT="0" distB="0" distL="0" distR="0">
            <wp:extent cx="4410075" cy="1162050"/>
            <wp:effectExtent l="0" t="0" r="952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10075" cy="1162050"/>
                    </a:xfrm>
                    <a:prstGeom prst="rect">
                      <a:avLst/>
                    </a:prstGeom>
                    <a:noFill/>
                    <a:ln>
                      <a:noFill/>
                    </a:ln>
                  </pic:spPr>
                </pic:pic>
              </a:graphicData>
            </a:graphic>
          </wp:inline>
        </w:drawing>
      </w:r>
    </w:p>
    <w:p w:rsidR="008B198E" w:rsidRPr="00707839" w:rsidRDefault="008B198E" w:rsidP="00A47351">
      <w:pPr>
        <w:pStyle w:val="Prrafodelista"/>
        <w:tabs>
          <w:tab w:val="left" w:pos="284"/>
        </w:tabs>
        <w:ind w:left="0"/>
        <w:jc w:val="both"/>
        <w:rPr>
          <w:rFonts w:ascii="Calibri" w:hAnsi="Calibri"/>
          <w:b/>
          <w:sz w:val="20"/>
          <w:szCs w:val="20"/>
        </w:rPr>
      </w:pPr>
    </w:p>
    <w:p w:rsidR="006E7C7C" w:rsidRDefault="006E7C7C" w:rsidP="00A47351">
      <w:pPr>
        <w:pStyle w:val="Prrafodelista"/>
        <w:tabs>
          <w:tab w:val="left" w:pos="284"/>
        </w:tabs>
        <w:ind w:left="0"/>
        <w:jc w:val="both"/>
        <w:rPr>
          <w:rFonts w:ascii="Calibri" w:hAnsi="Calibri"/>
          <w:b/>
          <w:sz w:val="20"/>
          <w:szCs w:val="20"/>
        </w:rPr>
      </w:pPr>
    </w:p>
    <w:p w:rsidR="006E7C7C" w:rsidRDefault="006E7C7C" w:rsidP="00A47351">
      <w:pPr>
        <w:pStyle w:val="Prrafodelista"/>
        <w:tabs>
          <w:tab w:val="left" w:pos="284"/>
        </w:tabs>
        <w:ind w:left="0"/>
        <w:jc w:val="both"/>
        <w:rPr>
          <w:rFonts w:ascii="Calibri" w:hAnsi="Calibri"/>
          <w:b/>
          <w:sz w:val="20"/>
          <w:szCs w:val="20"/>
        </w:rPr>
      </w:pPr>
    </w:p>
    <w:p w:rsidR="006E7C7C" w:rsidRDefault="006E7C7C" w:rsidP="00A47351">
      <w:pPr>
        <w:pStyle w:val="Prrafodelista"/>
        <w:tabs>
          <w:tab w:val="left" w:pos="284"/>
        </w:tabs>
        <w:ind w:left="0"/>
        <w:jc w:val="both"/>
        <w:rPr>
          <w:rFonts w:ascii="Calibri" w:hAnsi="Calibri"/>
          <w:b/>
          <w:sz w:val="20"/>
          <w:szCs w:val="20"/>
        </w:rPr>
      </w:pPr>
    </w:p>
    <w:p w:rsidR="006E7C7C" w:rsidRDefault="006E7C7C" w:rsidP="00A47351">
      <w:pPr>
        <w:pStyle w:val="Prrafodelista"/>
        <w:tabs>
          <w:tab w:val="left" w:pos="284"/>
        </w:tabs>
        <w:ind w:left="0"/>
        <w:jc w:val="both"/>
        <w:rPr>
          <w:rFonts w:ascii="Calibri" w:hAnsi="Calibri"/>
          <w:b/>
          <w:sz w:val="20"/>
          <w:szCs w:val="20"/>
        </w:rPr>
      </w:pPr>
    </w:p>
    <w:p w:rsidR="006E7C7C" w:rsidRDefault="006E7C7C" w:rsidP="00A47351">
      <w:pPr>
        <w:pStyle w:val="Prrafodelista"/>
        <w:tabs>
          <w:tab w:val="left" w:pos="284"/>
        </w:tabs>
        <w:ind w:left="0"/>
        <w:jc w:val="both"/>
        <w:rPr>
          <w:rFonts w:ascii="Calibri" w:hAnsi="Calibri"/>
          <w:b/>
          <w:sz w:val="20"/>
          <w:szCs w:val="20"/>
        </w:rPr>
      </w:pPr>
    </w:p>
    <w:p w:rsidR="006E7C7C" w:rsidRDefault="006E7C7C" w:rsidP="00A47351">
      <w:pPr>
        <w:pStyle w:val="Prrafodelista"/>
        <w:tabs>
          <w:tab w:val="left" w:pos="284"/>
        </w:tabs>
        <w:ind w:left="0"/>
        <w:jc w:val="both"/>
        <w:rPr>
          <w:rFonts w:ascii="Calibri" w:hAnsi="Calibri"/>
          <w:b/>
          <w:sz w:val="20"/>
          <w:szCs w:val="20"/>
        </w:rPr>
      </w:pPr>
    </w:p>
    <w:p w:rsidR="006E7C7C" w:rsidRDefault="006E7C7C" w:rsidP="00A47351">
      <w:pPr>
        <w:pStyle w:val="Prrafodelista"/>
        <w:tabs>
          <w:tab w:val="left" w:pos="284"/>
        </w:tabs>
        <w:ind w:left="0"/>
        <w:jc w:val="both"/>
        <w:rPr>
          <w:rFonts w:ascii="Calibri" w:hAnsi="Calibri"/>
          <w:b/>
          <w:sz w:val="20"/>
          <w:szCs w:val="20"/>
        </w:rPr>
      </w:pPr>
    </w:p>
    <w:p w:rsidR="006E7C7C" w:rsidRDefault="006E7C7C" w:rsidP="00A47351">
      <w:pPr>
        <w:pStyle w:val="Prrafodelista"/>
        <w:tabs>
          <w:tab w:val="left" w:pos="284"/>
        </w:tabs>
        <w:ind w:left="0"/>
        <w:jc w:val="both"/>
        <w:rPr>
          <w:rFonts w:ascii="Calibri" w:hAnsi="Calibri"/>
          <w:b/>
          <w:sz w:val="20"/>
          <w:szCs w:val="20"/>
        </w:rPr>
      </w:pPr>
    </w:p>
    <w:p w:rsidR="006E7C7C" w:rsidRDefault="006E7C7C" w:rsidP="00A47351">
      <w:pPr>
        <w:pStyle w:val="Prrafodelista"/>
        <w:tabs>
          <w:tab w:val="left" w:pos="284"/>
        </w:tabs>
        <w:ind w:left="0"/>
        <w:jc w:val="both"/>
        <w:rPr>
          <w:rFonts w:ascii="Calibri" w:hAnsi="Calibri"/>
          <w:b/>
          <w:sz w:val="20"/>
          <w:szCs w:val="20"/>
        </w:rPr>
      </w:pPr>
    </w:p>
    <w:p w:rsidR="00A47351" w:rsidRPr="00707839" w:rsidRDefault="00A47351" w:rsidP="00A47351">
      <w:pPr>
        <w:pStyle w:val="Prrafodelista"/>
        <w:tabs>
          <w:tab w:val="left" w:pos="284"/>
        </w:tabs>
        <w:ind w:left="0"/>
        <w:jc w:val="both"/>
        <w:rPr>
          <w:rFonts w:ascii="Calibri" w:hAnsi="Calibri"/>
          <w:b/>
          <w:sz w:val="20"/>
          <w:szCs w:val="20"/>
        </w:rPr>
      </w:pPr>
      <w:r w:rsidRPr="00707839">
        <w:rPr>
          <w:rFonts w:ascii="Calibri" w:hAnsi="Calibri"/>
          <w:b/>
          <w:sz w:val="20"/>
          <w:szCs w:val="20"/>
        </w:rPr>
        <w:t>2.1.2</w:t>
      </w:r>
      <w:r w:rsidRPr="00707839">
        <w:rPr>
          <w:rFonts w:ascii="Calibri" w:hAnsi="Calibri"/>
          <w:sz w:val="20"/>
          <w:szCs w:val="20"/>
        </w:rPr>
        <w:t xml:space="preserve"> </w:t>
      </w:r>
      <w:r w:rsidRPr="00707839">
        <w:rPr>
          <w:rFonts w:ascii="Calibri" w:hAnsi="Calibri"/>
          <w:b/>
          <w:sz w:val="20"/>
          <w:szCs w:val="20"/>
        </w:rPr>
        <w:t>Ingresos por venta de bienes y servicios de organismos descentralizados.</w:t>
      </w:r>
    </w:p>
    <w:p w:rsidR="00A47351" w:rsidRPr="00707839" w:rsidRDefault="00A47351" w:rsidP="00A47351">
      <w:pPr>
        <w:pStyle w:val="Prrafodelista"/>
        <w:tabs>
          <w:tab w:val="left" w:pos="284"/>
        </w:tabs>
        <w:ind w:left="0"/>
        <w:jc w:val="center"/>
        <w:rPr>
          <w:rFonts w:ascii="Calibri" w:hAnsi="Calibri" w:cs="Arial"/>
          <w:bCs/>
          <w:sz w:val="20"/>
          <w:szCs w:val="20"/>
        </w:rPr>
      </w:pPr>
    </w:p>
    <w:p w:rsidR="00A47351" w:rsidRPr="00707839" w:rsidRDefault="00A47351" w:rsidP="00A47351">
      <w:pPr>
        <w:tabs>
          <w:tab w:val="left" w:pos="284"/>
        </w:tabs>
        <w:jc w:val="both"/>
        <w:rPr>
          <w:rFonts w:ascii="Calibri" w:hAnsi="Calibri"/>
          <w:sz w:val="20"/>
          <w:szCs w:val="20"/>
        </w:rPr>
      </w:pPr>
      <w:r w:rsidRPr="00707839">
        <w:rPr>
          <w:rFonts w:ascii="Calibri" w:hAnsi="Calibri"/>
          <w:sz w:val="20"/>
          <w:szCs w:val="20"/>
        </w:rPr>
        <w:t>El rubro de Ingresos por venta de bienes y servicios de organismos descentralizados producidos del 1</w:t>
      </w:r>
      <w:r w:rsidR="00343301" w:rsidRPr="00707839">
        <w:rPr>
          <w:rFonts w:ascii="Calibri" w:hAnsi="Calibri"/>
          <w:sz w:val="20"/>
          <w:szCs w:val="20"/>
        </w:rPr>
        <w:t xml:space="preserve"> de </w:t>
      </w:r>
      <w:r w:rsidR="001919F7" w:rsidRPr="00707839">
        <w:rPr>
          <w:rFonts w:ascii="Calibri" w:hAnsi="Calibri"/>
          <w:sz w:val="20"/>
          <w:szCs w:val="20"/>
        </w:rPr>
        <w:t>enero</w:t>
      </w:r>
      <w:r w:rsidR="00343301" w:rsidRPr="00707839">
        <w:rPr>
          <w:rFonts w:ascii="Calibri" w:hAnsi="Calibri"/>
          <w:sz w:val="20"/>
          <w:szCs w:val="20"/>
        </w:rPr>
        <w:t xml:space="preserve"> </w:t>
      </w:r>
      <w:r w:rsidR="00BD2A58" w:rsidRPr="00707839">
        <w:rPr>
          <w:rFonts w:ascii="Calibri" w:hAnsi="Calibri"/>
          <w:sz w:val="20"/>
          <w:szCs w:val="20"/>
        </w:rPr>
        <w:t xml:space="preserve">al </w:t>
      </w:r>
      <w:r w:rsidR="001A2FAC" w:rsidRPr="00707839">
        <w:rPr>
          <w:rFonts w:ascii="Calibri" w:hAnsi="Calibri"/>
          <w:sz w:val="20"/>
          <w:szCs w:val="20"/>
        </w:rPr>
        <w:t>31 de Mayo de 2022</w:t>
      </w:r>
      <w:r w:rsidRPr="00707839">
        <w:rPr>
          <w:rFonts w:ascii="Calibri" w:hAnsi="Calibri"/>
          <w:sz w:val="20"/>
          <w:szCs w:val="20"/>
        </w:rPr>
        <w:t>, se encuentra integrado de la siguiente manera:</w:t>
      </w:r>
    </w:p>
    <w:p w:rsidR="00CE2F1B" w:rsidRPr="00707839" w:rsidRDefault="00CE2F1B" w:rsidP="00A47351">
      <w:pPr>
        <w:tabs>
          <w:tab w:val="left" w:pos="284"/>
        </w:tabs>
        <w:jc w:val="both"/>
        <w:rPr>
          <w:rFonts w:ascii="Calibri" w:hAnsi="Calibri"/>
          <w:sz w:val="20"/>
          <w:szCs w:val="20"/>
        </w:rPr>
      </w:pPr>
    </w:p>
    <w:p w:rsidR="00CE2F1B" w:rsidRPr="00707839" w:rsidRDefault="00CE2F1B" w:rsidP="00CE2F1B">
      <w:pPr>
        <w:tabs>
          <w:tab w:val="left" w:pos="284"/>
        </w:tabs>
        <w:jc w:val="center"/>
        <w:rPr>
          <w:rFonts w:ascii="Calibri" w:hAnsi="Calibri"/>
          <w:sz w:val="20"/>
          <w:szCs w:val="20"/>
        </w:rPr>
      </w:pPr>
    </w:p>
    <w:p w:rsidR="00A47351" w:rsidRPr="00707839" w:rsidRDefault="00A47351" w:rsidP="007F6C9A">
      <w:pPr>
        <w:tabs>
          <w:tab w:val="left" w:pos="284"/>
        </w:tabs>
        <w:jc w:val="center"/>
        <w:rPr>
          <w:rFonts w:ascii="Calibri" w:hAnsi="Calibri"/>
          <w:sz w:val="20"/>
          <w:szCs w:val="20"/>
        </w:rPr>
      </w:pPr>
    </w:p>
    <w:p w:rsidR="00760557" w:rsidRPr="00707839" w:rsidRDefault="00F42CF0" w:rsidP="00760557">
      <w:pPr>
        <w:tabs>
          <w:tab w:val="left" w:pos="284"/>
        </w:tabs>
        <w:jc w:val="center"/>
        <w:rPr>
          <w:rFonts w:ascii="Calibri" w:hAnsi="Calibri"/>
          <w:b/>
          <w:sz w:val="20"/>
          <w:szCs w:val="20"/>
        </w:rPr>
      </w:pPr>
      <w:r w:rsidRPr="00707839">
        <w:rPr>
          <w:noProof/>
          <w:lang w:eastAsia="es-MX"/>
        </w:rPr>
        <w:lastRenderedPageBreak/>
        <w:drawing>
          <wp:inline distT="0" distB="0" distL="0" distR="0">
            <wp:extent cx="6743700" cy="97155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743700" cy="971550"/>
                    </a:xfrm>
                    <a:prstGeom prst="rect">
                      <a:avLst/>
                    </a:prstGeom>
                    <a:noFill/>
                    <a:ln>
                      <a:noFill/>
                    </a:ln>
                  </pic:spPr>
                </pic:pic>
              </a:graphicData>
            </a:graphic>
          </wp:inline>
        </w:drawing>
      </w:r>
    </w:p>
    <w:p w:rsidR="00F42CF0" w:rsidRPr="00707839" w:rsidRDefault="00F42CF0" w:rsidP="00760557">
      <w:pPr>
        <w:tabs>
          <w:tab w:val="left" w:pos="284"/>
        </w:tabs>
        <w:jc w:val="center"/>
        <w:rPr>
          <w:rFonts w:ascii="Calibri" w:hAnsi="Calibri"/>
          <w:b/>
          <w:sz w:val="20"/>
          <w:szCs w:val="20"/>
        </w:rPr>
      </w:pPr>
    </w:p>
    <w:p w:rsidR="00A47351" w:rsidRPr="00707839" w:rsidRDefault="00A47351" w:rsidP="00A47351">
      <w:pPr>
        <w:pStyle w:val="Prrafodelista"/>
        <w:tabs>
          <w:tab w:val="left" w:pos="426"/>
          <w:tab w:val="left" w:pos="567"/>
        </w:tabs>
        <w:ind w:left="0"/>
        <w:jc w:val="both"/>
        <w:rPr>
          <w:rFonts w:ascii="Calibri" w:hAnsi="Calibri"/>
          <w:sz w:val="20"/>
          <w:szCs w:val="20"/>
        </w:rPr>
      </w:pPr>
      <w:r w:rsidRPr="00707839">
        <w:rPr>
          <w:rFonts w:ascii="Calibri" w:hAnsi="Calibri"/>
          <w:b/>
          <w:sz w:val="20"/>
          <w:szCs w:val="20"/>
        </w:rPr>
        <w:t>2.1.2.1</w:t>
      </w:r>
      <w:r w:rsidRPr="00707839">
        <w:rPr>
          <w:rFonts w:ascii="Calibri" w:hAnsi="Calibri"/>
          <w:sz w:val="20"/>
          <w:szCs w:val="20"/>
        </w:rPr>
        <w:t xml:space="preserve"> En la cuenta de ingresos por venta de localidades de la OSY, que acumula el importe total de la venta de localidades por las presentaciones de la Orquesta Sinfónica de Yucatán, en efectivo, tarjeta de crédito o débito y a través la página web (venta en línea) del 1</w:t>
      </w:r>
      <w:r w:rsidR="005D2BFB" w:rsidRPr="00707839">
        <w:rPr>
          <w:rFonts w:ascii="Calibri" w:hAnsi="Calibri"/>
          <w:sz w:val="20"/>
          <w:szCs w:val="20"/>
        </w:rPr>
        <w:t xml:space="preserve"> de </w:t>
      </w:r>
      <w:r w:rsidR="00AF677B" w:rsidRPr="00707839">
        <w:rPr>
          <w:rFonts w:ascii="Calibri" w:hAnsi="Calibri"/>
          <w:sz w:val="20"/>
          <w:szCs w:val="20"/>
        </w:rPr>
        <w:t>e</w:t>
      </w:r>
      <w:r w:rsidR="005D2BFB" w:rsidRPr="00707839">
        <w:rPr>
          <w:rFonts w:ascii="Calibri" w:hAnsi="Calibri"/>
          <w:sz w:val="20"/>
          <w:szCs w:val="20"/>
        </w:rPr>
        <w:t xml:space="preserve">nero </w:t>
      </w:r>
      <w:r w:rsidR="00BD2A58" w:rsidRPr="00707839">
        <w:rPr>
          <w:rFonts w:ascii="Calibri" w:hAnsi="Calibri"/>
          <w:sz w:val="20"/>
          <w:szCs w:val="20"/>
        </w:rPr>
        <w:t xml:space="preserve">al </w:t>
      </w:r>
      <w:r w:rsidR="001A2FAC" w:rsidRPr="00707839">
        <w:rPr>
          <w:rFonts w:ascii="Calibri" w:hAnsi="Calibri"/>
          <w:sz w:val="20"/>
          <w:szCs w:val="20"/>
        </w:rPr>
        <w:t>31 de Mayo de 2022</w:t>
      </w:r>
      <w:r w:rsidRPr="00707839">
        <w:rPr>
          <w:rFonts w:ascii="Calibri" w:hAnsi="Calibri"/>
          <w:sz w:val="20"/>
          <w:szCs w:val="20"/>
        </w:rPr>
        <w:t xml:space="preserve">, asciende a la cantidad de </w:t>
      </w:r>
      <w:r w:rsidR="00DC3877" w:rsidRPr="00707839">
        <w:rPr>
          <w:rFonts w:ascii="Calibri" w:hAnsi="Calibri"/>
          <w:sz w:val="20"/>
          <w:szCs w:val="20"/>
        </w:rPr>
        <w:t>$</w:t>
      </w:r>
      <w:r w:rsidR="00626E73" w:rsidRPr="00707839">
        <w:rPr>
          <w:rFonts w:ascii="Calibri" w:hAnsi="Calibri"/>
          <w:sz w:val="20"/>
          <w:szCs w:val="20"/>
        </w:rPr>
        <w:t>2</w:t>
      </w:r>
      <w:proofErr w:type="gramStart"/>
      <w:r w:rsidR="00626E73" w:rsidRPr="00707839">
        <w:rPr>
          <w:rFonts w:ascii="Calibri" w:hAnsi="Calibri"/>
          <w:sz w:val="20"/>
          <w:szCs w:val="20"/>
        </w:rPr>
        <w:t>,748,272.50</w:t>
      </w:r>
      <w:proofErr w:type="gramEnd"/>
      <w:r w:rsidR="00803CE9" w:rsidRPr="00707839">
        <w:rPr>
          <w:rFonts w:ascii="Calibri" w:hAnsi="Calibri"/>
          <w:sz w:val="20"/>
          <w:szCs w:val="20"/>
        </w:rPr>
        <w:t xml:space="preserve"> </w:t>
      </w:r>
      <w:r w:rsidRPr="00707839">
        <w:rPr>
          <w:rFonts w:ascii="Calibri" w:hAnsi="Calibri"/>
          <w:sz w:val="20"/>
          <w:szCs w:val="20"/>
        </w:rPr>
        <w:t xml:space="preserve">y se integra de la siguiente manera:  </w:t>
      </w:r>
    </w:p>
    <w:p w:rsidR="00B5521F" w:rsidRPr="00707839" w:rsidRDefault="00B5521F" w:rsidP="00760557">
      <w:pPr>
        <w:pStyle w:val="Prrafodelista"/>
        <w:tabs>
          <w:tab w:val="left" w:pos="284"/>
        </w:tabs>
        <w:ind w:left="0"/>
        <w:jc w:val="center"/>
        <w:rPr>
          <w:rFonts w:ascii="Calibri" w:hAnsi="Calibri"/>
          <w:sz w:val="20"/>
          <w:szCs w:val="20"/>
        </w:rPr>
      </w:pPr>
    </w:p>
    <w:p w:rsidR="00760557" w:rsidRPr="00707839" w:rsidRDefault="00F42CF0" w:rsidP="00760557">
      <w:pPr>
        <w:pStyle w:val="Prrafodelista"/>
        <w:tabs>
          <w:tab w:val="left" w:pos="284"/>
        </w:tabs>
        <w:ind w:left="0"/>
        <w:jc w:val="center"/>
        <w:rPr>
          <w:rFonts w:ascii="Calibri" w:hAnsi="Calibri"/>
          <w:sz w:val="20"/>
          <w:szCs w:val="20"/>
        </w:rPr>
      </w:pPr>
      <w:r w:rsidRPr="00707839">
        <w:rPr>
          <w:noProof/>
          <w:lang w:eastAsia="es-MX"/>
        </w:rPr>
        <w:drawing>
          <wp:inline distT="0" distB="0" distL="0" distR="0">
            <wp:extent cx="4410075" cy="590550"/>
            <wp:effectExtent l="0" t="0" r="952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10075" cy="590550"/>
                    </a:xfrm>
                    <a:prstGeom prst="rect">
                      <a:avLst/>
                    </a:prstGeom>
                    <a:noFill/>
                    <a:ln>
                      <a:noFill/>
                    </a:ln>
                  </pic:spPr>
                </pic:pic>
              </a:graphicData>
            </a:graphic>
          </wp:inline>
        </w:drawing>
      </w:r>
    </w:p>
    <w:p w:rsidR="00B5521F" w:rsidRPr="00707839" w:rsidRDefault="00B5521F" w:rsidP="00760557">
      <w:pPr>
        <w:pStyle w:val="Prrafodelista"/>
        <w:tabs>
          <w:tab w:val="left" w:pos="284"/>
        </w:tabs>
        <w:ind w:left="0"/>
        <w:jc w:val="center"/>
        <w:rPr>
          <w:rFonts w:ascii="Calibri" w:hAnsi="Calibri"/>
          <w:sz w:val="20"/>
          <w:szCs w:val="20"/>
        </w:rPr>
      </w:pPr>
    </w:p>
    <w:p w:rsidR="00A47351" w:rsidRPr="00707839" w:rsidRDefault="00A47351" w:rsidP="00A47351">
      <w:pPr>
        <w:pStyle w:val="Prrafodelista"/>
        <w:numPr>
          <w:ilvl w:val="3"/>
          <w:numId w:val="48"/>
        </w:numPr>
        <w:tabs>
          <w:tab w:val="left" w:pos="426"/>
          <w:tab w:val="left" w:pos="709"/>
        </w:tabs>
        <w:jc w:val="both"/>
        <w:rPr>
          <w:rFonts w:ascii="Calibri" w:hAnsi="Calibri"/>
          <w:sz w:val="20"/>
          <w:szCs w:val="20"/>
        </w:rPr>
      </w:pPr>
      <w:r w:rsidRPr="00707839">
        <w:rPr>
          <w:rFonts w:ascii="Calibri" w:hAnsi="Calibri"/>
          <w:sz w:val="20"/>
          <w:szCs w:val="20"/>
        </w:rPr>
        <w:t>La cuenta de otros ingresos se integra de la siguiente manera:</w:t>
      </w:r>
    </w:p>
    <w:p w:rsidR="00803CE9" w:rsidRPr="00707839" w:rsidRDefault="00803CE9" w:rsidP="00803CE9">
      <w:pPr>
        <w:pStyle w:val="Prrafodelista"/>
        <w:tabs>
          <w:tab w:val="left" w:pos="426"/>
          <w:tab w:val="left" w:pos="709"/>
        </w:tabs>
        <w:jc w:val="both"/>
        <w:rPr>
          <w:rFonts w:ascii="Calibri" w:hAnsi="Calibri"/>
          <w:sz w:val="20"/>
          <w:szCs w:val="20"/>
        </w:rPr>
      </w:pPr>
    </w:p>
    <w:p w:rsidR="00A47351" w:rsidRPr="00707839" w:rsidRDefault="00A47351" w:rsidP="00803CE9">
      <w:pPr>
        <w:pStyle w:val="Prrafodelista"/>
        <w:tabs>
          <w:tab w:val="left" w:pos="4184"/>
        </w:tabs>
        <w:ind w:left="0"/>
        <w:jc w:val="center"/>
        <w:rPr>
          <w:rFonts w:ascii="Calibri" w:hAnsi="Calibri"/>
          <w:sz w:val="20"/>
          <w:szCs w:val="20"/>
        </w:rPr>
      </w:pPr>
    </w:p>
    <w:p w:rsidR="00760557" w:rsidRPr="00707839" w:rsidRDefault="00F42CF0" w:rsidP="00F42CF0">
      <w:pPr>
        <w:pStyle w:val="Prrafodelista"/>
        <w:tabs>
          <w:tab w:val="left" w:pos="4184"/>
        </w:tabs>
        <w:ind w:left="0"/>
        <w:jc w:val="center"/>
        <w:rPr>
          <w:rFonts w:ascii="Calibri" w:hAnsi="Calibri"/>
          <w:sz w:val="20"/>
          <w:szCs w:val="20"/>
        </w:rPr>
      </w:pPr>
      <w:r w:rsidRPr="00707839">
        <w:rPr>
          <w:noProof/>
          <w:lang w:eastAsia="es-MX"/>
        </w:rPr>
        <w:drawing>
          <wp:inline distT="0" distB="0" distL="0" distR="0">
            <wp:extent cx="4410075" cy="1162050"/>
            <wp:effectExtent l="0" t="0" r="952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10075" cy="1162050"/>
                    </a:xfrm>
                    <a:prstGeom prst="rect">
                      <a:avLst/>
                    </a:prstGeom>
                    <a:noFill/>
                    <a:ln>
                      <a:noFill/>
                    </a:ln>
                  </pic:spPr>
                </pic:pic>
              </a:graphicData>
            </a:graphic>
          </wp:inline>
        </w:drawing>
      </w:r>
    </w:p>
    <w:p w:rsidR="009254A7" w:rsidRDefault="009254A7" w:rsidP="00A47351">
      <w:pPr>
        <w:jc w:val="both"/>
        <w:rPr>
          <w:rFonts w:ascii="Calibri" w:hAnsi="Calibri"/>
          <w:sz w:val="20"/>
          <w:szCs w:val="20"/>
        </w:rPr>
      </w:pPr>
    </w:p>
    <w:p w:rsidR="006E7C7C" w:rsidRDefault="006E7C7C" w:rsidP="00A47351">
      <w:pPr>
        <w:jc w:val="both"/>
        <w:rPr>
          <w:rFonts w:ascii="Calibri" w:hAnsi="Calibri"/>
          <w:sz w:val="20"/>
          <w:szCs w:val="20"/>
        </w:rPr>
      </w:pPr>
    </w:p>
    <w:p w:rsidR="006E7C7C" w:rsidRPr="00707839" w:rsidRDefault="006E7C7C" w:rsidP="00A47351">
      <w:pPr>
        <w:jc w:val="both"/>
        <w:rPr>
          <w:rFonts w:ascii="Calibri" w:hAnsi="Calibri"/>
          <w:sz w:val="20"/>
          <w:szCs w:val="20"/>
        </w:rPr>
      </w:pPr>
    </w:p>
    <w:p w:rsidR="00961643" w:rsidRPr="00707839" w:rsidRDefault="00961643" w:rsidP="00961643">
      <w:pPr>
        <w:pStyle w:val="Prrafodelista"/>
        <w:numPr>
          <w:ilvl w:val="1"/>
          <w:numId w:val="48"/>
        </w:numPr>
        <w:tabs>
          <w:tab w:val="left" w:pos="284"/>
          <w:tab w:val="left" w:pos="567"/>
        </w:tabs>
        <w:jc w:val="both"/>
        <w:rPr>
          <w:rFonts w:ascii="Calibri" w:hAnsi="Calibri"/>
          <w:b/>
          <w:sz w:val="20"/>
          <w:szCs w:val="20"/>
        </w:rPr>
      </w:pPr>
      <w:r w:rsidRPr="00707839">
        <w:rPr>
          <w:rFonts w:ascii="Calibri" w:hAnsi="Calibri"/>
          <w:b/>
          <w:sz w:val="20"/>
          <w:szCs w:val="20"/>
        </w:rPr>
        <w:t>Participaciones, Aportaciones, Convenios, Incentivos derivados de la colaboración fiscal, Fondos distintos de aportaciones, Transferencias, Asignaciones, Subsidios y Subvenciones y Pensiones y Jubilaciones.</w:t>
      </w:r>
    </w:p>
    <w:p w:rsidR="00A47351" w:rsidRPr="00707839" w:rsidRDefault="00A47351" w:rsidP="00A47351">
      <w:pPr>
        <w:pStyle w:val="Prrafodelista"/>
        <w:tabs>
          <w:tab w:val="left" w:pos="284"/>
          <w:tab w:val="left" w:pos="567"/>
        </w:tabs>
        <w:ind w:left="0"/>
        <w:jc w:val="both"/>
        <w:rPr>
          <w:rFonts w:ascii="Calibri" w:hAnsi="Calibri"/>
          <w:sz w:val="20"/>
          <w:szCs w:val="20"/>
        </w:rPr>
      </w:pPr>
    </w:p>
    <w:p w:rsidR="00A47351" w:rsidRPr="00707839" w:rsidRDefault="00A47351" w:rsidP="00A47351">
      <w:pPr>
        <w:pStyle w:val="Prrafodelista"/>
        <w:tabs>
          <w:tab w:val="left" w:pos="284"/>
          <w:tab w:val="left" w:pos="567"/>
        </w:tabs>
        <w:ind w:left="0"/>
        <w:jc w:val="both"/>
        <w:rPr>
          <w:rFonts w:ascii="Calibri" w:hAnsi="Calibri"/>
          <w:sz w:val="20"/>
          <w:szCs w:val="20"/>
        </w:rPr>
      </w:pPr>
      <w:r w:rsidRPr="00707839">
        <w:rPr>
          <w:rFonts w:ascii="Calibri" w:hAnsi="Calibri"/>
          <w:sz w:val="20"/>
          <w:szCs w:val="20"/>
        </w:rPr>
        <w:t xml:space="preserve">El rubro de Transferencias, asignaciones, subsidios y otras ayudas, acumula las ministraciones que trasfiere el Gobierno del Estado de Yucatán al FIGAROSY, conforme al Decreto número </w:t>
      </w:r>
      <w:r w:rsidR="004C77E4" w:rsidRPr="00707839">
        <w:rPr>
          <w:rFonts w:ascii="Calibri" w:hAnsi="Calibri"/>
          <w:sz w:val="20"/>
          <w:szCs w:val="20"/>
        </w:rPr>
        <w:t>441</w:t>
      </w:r>
      <w:r w:rsidRPr="00707839">
        <w:rPr>
          <w:rFonts w:ascii="Calibri" w:hAnsi="Calibri"/>
          <w:sz w:val="20"/>
          <w:szCs w:val="20"/>
        </w:rPr>
        <w:t>/202</w:t>
      </w:r>
      <w:r w:rsidR="004C77E4" w:rsidRPr="00707839">
        <w:rPr>
          <w:rFonts w:ascii="Calibri" w:hAnsi="Calibri"/>
          <w:sz w:val="20"/>
          <w:szCs w:val="20"/>
        </w:rPr>
        <w:t>1</w:t>
      </w:r>
      <w:r w:rsidRPr="00707839">
        <w:rPr>
          <w:rFonts w:ascii="Calibri" w:hAnsi="Calibri"/>
          <w:sz w:val="20"/>
          <w:szCs w:val="20"/>
        </w:rPr>
        <w:t xml:space="preserve"> de fecha 3</w:t>
      </w:r>
      <w:r w:rsidR="00C43903" w:rsidRPr="00707839">
        <w:rPr>
          <w:rFonts w:ascii="Calibri" w:hAnsi="Calibri"/>
          <w:sz w:val="20"/>
          <w:szCs w:val="20"/>
        </w:rPr>
        <w:t>0</w:t>
      </w:r>
      <w:r w:rsidRPr="00707839">
        <w:rPr>
          <w:rFonts w:ascii="Calibri" w:hAnsi="Calibri"/>
          <w:sz w:val="20"/>
          <w:szCs w:val="20"/>
        </w:rPr>
        <w:t xml:space="preserve"> de Diciembre de 202</w:t>
      </w:r>
      <w:r w:rsidR="00B5521F" w:rsidRPr="00707839">
        <w:rPr>
          <w:rFonts w:ascii="Calibri" w:hAnsi="Calibri"/>
          <w:sz w:val="20"/>
          <w:szCs w:val="20"/>
        </w:rPr>
        <w:t>1</w:t>
      </w:r>
      <w:r w:rsidRPr="00707839">
        <w:rPr>
          <w:rFonts w:ascii="Calibri" w:hAnsi="Calibri"/>
          <w:sz w:val="20"/>
          <w:szCs w:val="20"/>
        </w:rPr>
        <w:t xml:space="preserve">, publicado en el Diario oficial del Estado de Yucatán, se autorizó erogar la cantidad de $ </w:t>
      </w:r>
      <w:r w:rsidR="004C77E4" w:rsidRPr="00707839">
        <w:rPr>
          <w:rFonts w:ascii="Calibri" w:hAnsi="Calibri"/>
          <w:sz w:val="20"/>
          <w:szCs w:val="20"/>
        </w:rPr>
        <w:t xml:space="preserve">31,075,863.00 </w:t>
      </w:r>
      <w:r w:rsidRPr="00707839">
        <w:rPr>
          <w:rFonts w:ascii="Calibri" w:hAnsi="Calibri"/>
          <w:sz w:val="20"/>
          <w:szCs w:val="20"/>
        </w:rPr>
        <w:t xml:space="preserve"> para el e</w:t>
      </w:r>
      <w:r w:rsidR="004C77E4" w:rsidRPr="00707839">
        <w:rPr>
          <w:rFonts w:ascii="Calibri" w:hAnsi="Calibri"/>
          <w:sz w:val="20"/>
          <w:szCs w:val="20"/>
        </w:rPr>
        <w:t>jercicio 2022</w:t>
      </w:r>
      <w:r w:rsidRPr="00707839">
        <w:rPr>
          <w:rFonts w:ascii="Calibri" w:hAnsi="Calibri"/>
          <w:sz w:val="20"/>
          <w:szCs w:val="20"/>
        </w:rPr>
        <w:t>.</w:t>
      </w:r>
    </w:p>
    <w:p w:rsidR="00A47351" w:rsidRPr="00707839" w:rsidRDefault="00A47351" w:rsidP="00A47351">
      <w:pPr>
        <w:pStyle w:val="Prrafodelista"/>
        <w:tabs>
          <w:tab w:val="left" w:pos="284"/>
        </w:tabs>
        <w:ind w:left="0"/>
        <w:jc w:val="both"/>
        <w:rPr>
          <w:rFonts w:ascii="Calibri" w:hAnsi="Calibri"/>
          <w:sz w:val="20"/>
          <w:szCs w:val="20"/>
        </w:rPr>
      </w:pPr>
    </w:p>
    <w:p w:rsidR="00760557" w:rsidRPr="00707839" w:rsidRDefault="00A47351" w:rsidP="00760557">
      <w:pPr>
        <w:pStyle w:val="Textoindependiente"/>
        <w:tabs>
          <w:tab w:val="left" w:pos="426"/>
        </w:tabs>
        <w:rPr>
          <w:rFonts w:ascii="Calibri" w:hAnsi="Calibri"/>
          <w:sz w:val="20"/>
          <w:szCs w:val="20"/>
        </w:rPr>
      </w:pPr>
      <w:r w:rsidRPr="00707839">
        <w:rPr>
          <w:rFonts w:ascii="Calibri" w:hAnsi="Calibri"/>
          <w:sz w:val="20"/>
          <w:szCs w:val="20"/>
        </w:rPr>
        <w:t>La Dirección de Tesorería General de la Secretaría de Administración y Finanzas ha transferido al Fideicomiso la cantidad de $</w:t>
      </w:r>
      <w:r w:rsidR="001919F7" w:rsidRPr="00707839">
        <w:t xml:space="preserve"> </w:t>
      </w:r>
      <w:r w:rsidR="00F42CF0" w:rsidRPr="00707839">
        <w:rPr>
          <w:rFonts w:ascii="Calibri" w:hAnsi="Calibri"/>
          <w:sz w:val="20"/>
          <w:szCs w:val="20"/>
        </w:rPr>
        <w:t>9</w:t>
      </w:r>
      <w:proofErr w:type="gramStart"/>
      <w:r w:rsidR="00F42CF0" w:rsidRPr="00707839">
        <w:rPr>
          <w:rFonts w:ascii="Calibri" w:hAnsi="Calibri"/>
          <w:sz w:val="20"/>
          <w:szCs w:val="20"/>
        </w:rPr>
        <w:t>,986,624.00</w:t>
      </w:r>
      <w:proofErr w:type="gramEnd"/>
      <w:r w:rsidR="00127CAD" w:rsidRPr="00707839">
        <w:rPr>
          <w:rFonts w:ascii="Calibri" w:hAnsi="Calibri"/>
          <w:sz w:val="20"/>
          <w:szCs w:val="20"/>
        </w:rPr>
        <w:t xml:space="preserve"> </w:t>
      </w:r>
      <w:r w:rsidR="001919F7" w:rsidRPr="00707839">
        <w:rPr>
          <w:rFonts w:ascii="Calibri" w:hAnsi="Calibri"/>
          <w:sz w:val="20"/>
          <w:szCs w:val="20"/>
        </w:rPr>
        <w:t xml:space="preserve"> </w:t>
      </w:r>
      <w:r w:rsidRPr="00707839">
        <w:rPr>
          <w:rFonts w:ascii="Calibri" w:hAnsi="Calibri"/>
          <w:sz w:val="20"/>
          <w:szCs w:val="20"/>
        </w:rPr>
        <w:t>por el período del 1</w:t>
      </w:r>
      <w:r w:rsidR="005D2BFB" w:rsidRPr="00707839">
        <w:rPr>
          <w:rFonts w:ascii="Calibri" w:hAnsi="Calibri"/>
          <w:sz w:val="20"/>
          <w:szCs w:val="20"/>
        </w:rPr>
        <w:t xml:space="preserve"> de </w:t>
      </w:r>
      <w:r w:rsidR="00AF677B" w:rsidRPr="00707839">
        <w:rPr>
          <w:rFonts w:ascii="Calibri" w:hAnsi="Calibri"/>
          <w:sz w:val="20"/>
          <w:szCs w:val="20"/>
        </w:rPr>
        <w:t>e</w:t>
      </w:r>
      <w:r w:rsidR="005D2BFB" w:rsidRPr="00707839">
        <w:rPr>
          <w:rFonts w:ascii="Calibri" w:hAnsi="Calibri"/>
          <w:sz w:val="20"/>
          <w:szCs w:val="20"/>
        </w:rPr>
        <w:t xml:space="preserve">nero </w:t>
      </w:r>
      <w:r w:rsidR="00BD2A58" w:rsidRPr="00707839">
        <w:rPr>
          <w:rFonts w:ascii="Calibri" w:hAnsi="Calibri"/>
          <w:sz w:val="20"/>
          <w:szCs w:val="20"/>
        </w:rPr>
        <w:t xml:space="preserve">al </w:t>
      </w:r>
      <w:r w:rsidR="001A2FAC" w:rsidRPr="00707839">
        <w:rPr>
          <w:rFonts w:ascii="Calibri" w:hAnsi="Calibri"/>
          <w:sz w:val="20"/>
          <w:szCs w:val="20"/>
        </w:rPr>
        <w:t>31 de Mayo de 2022</w:t>
      </w:r>
      <w:r w:rsidR="00760557" w:rsidRPr="00707839">
        <w:rPr>
          <w:rFonts w:ascii="Calibri" w:hAnsi="Calibri"/>
          <w:sz w:val="20"/>
          <w:szCs w:val="20"/>
        </w:rPr>
        <w:t>.</w:t>
      </w:r>
      <w:r w:rsidR="00CA0766" w:rsidRPr="00707839">
        <w:rPr>
          <w:rFonts w:ascii="Calibri" w:hAnsi="Calibri"/>
          <w:sz w:val="20"/>
          <w:szCs w:val="20"/>
        </w:rPr>
        <w:t xml:space="preserve"> </w:t>
      </w:r>
    </w:p>
    <w:p w:rsidR="00760557" w:rsidRPr="00707839" w:rsidRDefault="00760557" w:rsidP="00760557">
      <w:pPr>
        <w:pStyle w:val="Textoindependiente"/>
        <w:tabs>
          <w:tab w:val="left" w:pos="426"/>
        </w:tabs>
        <w:rPr>
          <w:rFonts w:ascii="Calibri" w:hAnsi="Calibri"/>
          <w:b/>
          <w:sz w:val="20"/>
          <w:szCs w:val="20"/>
        </w:rPr>
      </w:pPr>
    </w:p>
    <w:p w:rsidR="00A47351" w:rsidRPr="00707839" w:rsidRDefault="00961643" w:rsidP="00760557">
      <w:pPr>
        <w:pStyle w:val="Textoindependiente"/>
        <w:tabs>
          <w:tab w:val="left" w:pos="426"/>
        </w:tabs>
        <w:rPr>
          <w:rFonts w:ascii="Calibri" w:hAnsi="Calibri"/>
          <w:b/>
          <w:sz w:val="20"/>
          <w:szCs w:val="20"/>
        </w:rPr>
      </w:pPr>
      <w:r w:rsidRPr="00707839">
        <w:rPr>
          <w:rFonts w:ascii="Calibri" w:hAnsi="Calibri"/>
          <w:b/>
          <w:sz w:val="20"/>
          <w:szCs w:val="20"/>
        </w:rPr>
        <w:lastRenderedPageBreak/>
        <w:t xml:space="preserve">2.3 </w:t>
      </w:r>
      <w:r w:rsidR="00A47351" w:rsidRPr="00707839">
        <w:rPr>
          <w:rFonts w:ascii="Calibri" w:hAnsi="Calibri"/>
          <w:b/>
          <w:sz w:val="20"/>
          <w:szCs w:val="20"/>
        </w:rPr>
        <w:t xml:space="preserve">Otros ingresos y beneficios. </w:t>
      </w:r>
    </w:p>
    <w:p w:rsidR="00A47351" w:rsidRPr="00707839" w:rsidRDefault="00A47351" w:rsidP="00A47351">
      <w:pPr>
        <w:pStyle w:val="Prrafodelista"/>
        <w:tabs>
          <w:tab w:val="left" w:pos="0"/>
          <w:tab w:val="left" w:pos="284"/>
          <w:tab w:val="left" w:pos="426"/>
          <w:tab w:val="left" w:pos="567"/>
        </w:tabs>
        <w:ind w:left="0"/>
        <w:jc w:val="both"/>
        <w:rPr>
          <w:rFonts w:ascii="Calibri" w:hAnsi="Calibri"/>
          <w:b/>
          <w:bCs/>
          <w:sz w:val="20"/>
          <w:szCs w:val="20"/>
        </w:rPr>
      </w:pPr>
    </w:p>
    <w:p w:rsidR="00EF0E7F" w:rsidRPr="00707839" w:rsidRDefault="00EF0E7F" w:rsidP="00EF0E7F">
      <w:pPr>
        <w:pStyle w:val="Prrafodelista"/>
        <w:tabs>
          <w:tab w:val="left" w:pos="284"/>
        </w:tabs>
        <w:ind w:left="0"/>
        <w:jc w:val="both"/>
        <w:rPr>
          <w:rFonts w:ascii="Calibri" w:hAnsi="Calibri"/>
          <w:sz w:val="20"/>
          <w:szCs w:val="20"/>
        </w:rPr>
      </w:pPr>
      <w:r w:rsidRPr="00707839">
        <w:rPr>
          <w:rFonts w:ascii="Calibri" w:hAnsi="Calibri"/>
          <w:sz w:val="20"/>
          <w:szCs w:val="20"/>
        </w:rPr>
        <w:t>La cuenta de otros ingresos considera $190,374.90 de aportaciones en especie del Patronato de la Orquesta Sinfónica de Yucatán, en concordancia con el convenio de colaboración con el FIGAROSY.</w:t>
      </w:r>
    </w:p>
    <w:p w:rsidR="00EF0E7F" w:rsidRPr="00707839" w:rsidRDefault="00EF0E7F" w:rsidP="00EF0E7F">
      <w:pPr>
        <w:tabs>
          <w:tab w:val="left" w:pos="426"/>
        </w:tabs>
        <w:rPr>
          <w:rFonts w:ascii="Calibri" w:hAnsi="Calibri"/>
          <w:b/>
          <w:sz w:val="20"/>
          <w:szCs w:val="20"/>
        </w:rPr>
      </w:pPr>
    </w:p>
    <w:p w:rsidR="004C77E4" w:rsidRPr="00707839" w:rsidRDefault="004C77E4" w:rsidP="00A47351">
      <w:pPr>
        <w:pStyle w:val="Prrafodelista"/>
        <w:tabs>
          <w:tab w:val="left" w:pos="284"/>
        </w:tabs>
        <w:ind w:left="0"/>
        <w:jc w:val="both"/>
        <w:rPr>
          <w:rFonts w:ascii="Calibri" w:hAnsi="Calibri"/>
          <w:sz w:val="20"/>
          <w:szCs w:val="20"/>
        </w:rPr>
      </w:pPr>
    </w:p>
    <w:p w:rsidR="00A47351" w:rsidRPr="00707839" w:rsidRDefault="00A47351" w:rsidP="00A47351">
      <w:pPr>
        <w:pStyle w:val="Prrafodelista"/>
        <w:tabs>
          <w:tab w:val="left" w:pos="426"/>
        </w:tabs>
        <w:ind w:left="0"/>
        <w:rPr>
          <w:rFonts w:ascii="Calibri" w:hAnsi="Calibri"/>
          <w:b/>
          <w:sz w:val="20"/>
          <w:szCs w:val="20"/>
        </w:rPr>
      </w:pPr>
      <w:r w:rsidRPr="00707839">
        <w:rPr>
          <w:rFonts w:ascii="Calibri" w:hAnsi="Calibri"/>
          <w:b/>
          <w:sz w:val="20"/>
          <w:szCs w:val="20"/>
        </w:rPr>
        <w:t>2.4.1 Gastos de Funcionamiento.</w:t>
      </w:r>
    </w:p>
    <w:p w:rsidR="00A47351" w:rsidRPr="00707839" w:rsidRDefault="00A47351" w:rsidP="00A47351">
      <w:pPr>
        <w:pStyle w:val="Prrafodelista"/>
        <w:tabs>
          <w:tab w:val="left" w:pos="426"/>
        </w:tabs>
        <w:ind w:left="0"/>
        <w:rPr>
          <w:rFonts w:ascii="Calibri" w:hAnsi="Calibri"/>
          <w:b/>
          <w:sz w:val="20"/>
          <w:szCs w:val="20"/>
        </w:rPr>
      </w:pPr>
    </w:p>
    <w:p w:rsidR="00A47351" w:rsidRPr="00707839" w:rsidRDefault="00A47351" w:rsidP="00A47351">
      <w:pPr>
        <w:tabs>
          <w:tab w:val="left" w:pos="284"/>
        </w:tabs>
        <w:jc w:val="both"/>
        <w:rPr>
          <w:rFonts w:ascii="Calibri" w:hAnsi="Calibri"/>
          <w:sz w:val="20"/>
          <w:szCs w:val="20"/>
        </w:rPr>
      </w:pPr>
      <w:r w:rsidRPr="00707839">
        <w:rPr>
          <w:rFonts w:ascii="Calibri" w:hAnsi="Calibri"/>
          <w:sz w:val="20"/>
          <w:szCs w:val="20"/>
        </w:rPr>
        <w:t>El gasto erogado por el período de</w:t>
      </w:r>
      <w:r w:rsidR="005D2BFB" w:rsidRPr="00707839">
        <w:rPr>
          <w:rFonts w:ascii="Calibri" w:hAnsi="Calibri"/>
          <w:sz w:val="20"/>
          <w:szCs w:val="20"/>
        </w:rPr>
        <w:t xml:space="preserve">l 1 de </w:t>
      </w:r>
      <w:r w:rsidR="00EF0E7F" w:rsidRPr="00707839">
        <w:rPr>
          <w:rFonts w:ascii="Calibri" w:hAnsi="Calibri"/>
          <w:sz w:val="20"/>
          <w:szCs w:val="20"/>
        </w:rPr>
        <w:t>enero</w:t>
      </w:r>
      <w:r w:rsidR="005D2BFB" w:rsidRPr="00707839">
        <w:rPr>
          <w:rFonts w:ascii="Calibri" w:hAnsi="Calibri"/>
          <w:sz w:val="20"/>
          <w:szCs w:val="20"/>
        </w:rPr>
        <w:t xml:space="preserve"> </w:t>
      </w:r>
      <w:r w:rsidR="00BD2A58" w:rsidRPr="00707839">
        <w:rPr>
          <w:rFonts w:ascii="Calibri" w:hAnsi="Calibri"/>
          <w:sz w:val="20"/>
          <w:szCs w:val="20"/>
        </w:rPr>
        <w:t xml:space="preserve">al </w:t>
      </w:r>
      <w:r w:rsidR="001A2FAC" w:rsidRPr="00707839">
        <w:rPr>
          <w:rFonts w:ascii="Calibri" w:hAnsi="Calibri"/>
          <w:sz w:val="20"/>
          <w:szCs w:val="20"/>
        </w:rPr>
        <w:t>31 de Mayo de 2022</w:t>
      </w:r>
      <w:r w:rsidR="006B2008" w:rsidRPr="00707839">
        <w:rPr>
          <w:rFonts w:ascii="Calibri" w:hAnsi="Calibri"/>
          <w:sz w:val="20"/>
          <w:szCs w:val="20"/>
        </w:rPr>
        <w:t>,</w:t>
      </w:r>
      <w:r w:rsidRPr="00707839">
        <w:rPr>
          <w:rFonts w:ascii="Calibri" w:hAnsi="Calibri"/>
          <w:sz w:val="20"/>
          <w:szCs w:val="20"/>
        </w:rPr>
        <w:t xml:space="preserve"> por concepto de Gasto Operativo y Presentaciones de la Orquesta Sinfónica de Yucatán, es el siguiente:</w:t>
      </w:r>
    </w:p>
    <w:p w:rsidR="00127CAD" w:rsidRPr="00707839" w:rsidRDefault="00127CAD" w:rsidP="00A47351">
      <w:pPr>
        <w:tabs>
          <w:tab w:val="left" w:pos="284"/>
        </w:tabs>
        <w:jc w:val="both"/>
        <w:rPr>
          <w:rFonts w:ascii="Calibri" w:hAnsi="Calibri"/>
          <w:sz w:val="20"/>
          <w:szCs w:val="20"/>
        </w:rPr>
      </w:pPr>
    </w:p>
    <w:p w:rsidR="0072004F" w:rsidRPr="00707839" w:rsidRDefault="00DF43BB" w:rsidP="007F6C9A">
      <w:pPr>
        <w:tabs>
          <w:tab w:val="left" w:pos="284"/>
        </w:tabs>
        <w:jc w:val="center"/>
        <w:rPr>
          <w:rFonts w:ascii="Calibri" w:hAnsi="Calibri"/>
          <w:sz w:val="20"/>
          <w:szCs w:val="20"/>
        </w:rPr>
      </w:pPr>
      <w:r w:rsidRPr="00707839">
        <w:rPr>
          <w:noProof/>
          <w:lang w:eastAsia="es-MX"/>
        </w:rPr>
        <w:drawing>
          <wp:inline distT="0" distB="0" distL="0" distR="0">
            <wp:extent cx="6905625" cy="1390650"/>
            <wp:effectExtent l="0" t="0" r="9525"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905625" cy="1390650"/>
                    </a:xfrm>
                    <a:prstGeom prst="rect">
                      <a:avLst/>
                    </a:prstGeom>
                    <a:noFill/>
                    <a:ln>
                      <a:noFill/>
                    </a:ln>
                  </pic:spPr>
                </pic:pic>
              </a:graphicData>
            </a:graphic>
          </wp:inline>
        </w:drawing>
      </w:r>
    </w:p>
    <w:p w:rsidR="0072004F" w:rsidRPr="00707839" w:rsidRDefault="0072004F" w:rsidP="00A47351">
      <w:pPr>
        <w:tabs>
          <w:tab w:val="left" w:pos="284"/>
        </w:tabs>
        <w:jc w:val="both"/>
        <w:rPr>
          <w:rFonts w:ascii="Calibri" w:hAnsi="Calibri"/>
          <w:sz w:val="20"/>
          <w:szCs w:val="20"/>
        </w:rPr>
      </w:pPr>
    </w:p>
    <w:p w:rsidR="006E7C7C" w:rsidRDefault="006E7C7C" w:rsidP="00A47351">
      <w:pPr>
        <w:tabs>
          <w:tab w:val="left" w:pos="284"/>
        </w:tabs>
        <w:jc w:val="both"/>
        <w:rPr>
          <w:rFonts w:ascii="Calibri" w:hAnsi="Calibri"/>
          <w:sz w:val="20"/>
          <w:szCs w:val="20"/>
        </w:rPr>
      </w:pPr>
    </w:p>
    <w:p w:rsidR="006E7C7C" w:rsidRDefault="006E7C7C" w:rsidP="00A47351">
      <w:pPr>
        <w:tabs>
          <w:tab w:val="left" w:pos="284"/>
        </w:tabs>
        <w:jc w:val="both"/>
        <w:rPr>
          <w:rFonts w:ascii="Calibri" w:hAnsi="Calibri"/>
          <w:sz w:val="20"/>
          <w:szCs w:val="20"/>
        </w:rPr>
      </w:pPr>
    </w:p>
    <w:p w:rsidR="006E7C7C" w:rsidRDefault="006E7C7C" w:rsidP="00A47351">
      <w:pPr>
        <w:tabs>
          <w:tab w:val="left" w:pos="284"/>
        </w:tabs>
        <w:jc w:val="both"/>
        <w:rPr>
          <w:rFonts w:ascii="Calibri" w:hAnsi="Calibri"/>
          <w:sz w:val="20"/>
          <w:szCs w:val="20"/>
        </w:rPr>
      </w:pPr>
    </w:p>
    <w:p w:rsidR="006E7C7C" w:rsidRDefault="006E7C7C" w:rsidP="00A47351">
      <w:pPr>
        <w:tabs>
          <w:tab w:val="left" w:pos="284"/>
        </w:tabs>
        <w:jc w:val="both"/>
        <w:rPr>
          <w:rFonts w:ascii="Calibri" w:hAnsi="Calibri"/>
          <w:sz w:val="20"/>
          <w:szCs w:val="20"/>
        </w:rPr>
      </w:pPr>
    </w:p>
    <w:p w:rsidR="006E7C7C" w:rsidRDefault="006E7C7C" w:rsidP="00A47351">
      <w:pPr>
        <w:tabs>
          <w:tab w:val="left" w:pos="284"/>
        </w:tabs>
        <w:jc w:val="both"/>
        <w:rPr>
          <w:rFonts w:ascii="Calibri" w:hAnsi="Calibri"/>
          <w:sz w:val="20"/>
          <w:szCs w:val="20"/>
        </w:rPr>
      </w:pPr>
    </w:p>
    <w:p w:rsidR="006E7C7C" w:rsidRDefault="006E7C7C" w:rsidP="00A47351">
      <w:pPr>
        <w:tabs>
          <w:tab w:val="left" w:pos="284"/>
        </w:tabs>
        <w:jc w:val="both"/>
        <w:rPr>
          <w:rFonts w:ascii="Calibri" w:hAnsi="Calibri"/>
          <w:sz w:val="20"/>
          <w:szCs w:val="20"/>
        </w:rPr>
      </w:pPr>
    </w:p>
    <w:p w:rsidR="006E7C7C" w:rsidRDefault="006E7C7C" w:rsidP="00A47351">
      <w:pPr>
        <w:tabs>
          <w:tab w:val="left" w:pos="284"/>
        </w:tabs>
        <w:jc w:val="both"/>
        <w:rPr>
          <w:rFonts w:ascii="Calibri" w:hAnsi="Calibri"/>
          <w:sz w:val="20"/>
          <w:szCs w:val="20"/>
        </w:rPr>
      </w:pPr>
    </w:p>
    <w:p w:rsidR="00A47351" w:rsidRPr="00707839" w:rsidRDefault="00A47351" w:rsidP="00A47351">
      <w:pPr>
        <w:tabs>
          <w:tab w:val="left" w:pos="284"/>
        </w:tabs>
        <w:jc w:val="both"/>
        <w:rPr>
          <w:rFonts w:ascii="Calibri" w:hAnsi="Calibri"/>
          <w:sz w:val="20"/>
          <w:szCs w:val="20"/>
        </w:rPr>
      </w:pPr>
      <w:r w:rsidRPr="00707839">
        <w:rPr>
          <w:rFonts w:ascii="Calibri" w:hAnsi="Calibri"/>
          <w:sz w:val="20"/>
          <w:szCs w:val="20"/>
        </w:rPr>
        <w:t>Los Egresos por Presentaciones de la Orquesta Sinfónica de Yucatán, se integra de la siguiente manera:</w:t>
      </w:r>
    </w:p>
    <w:p w:rsidR="0072004F" w:rsidRPr="00707839" w:rsidRDefault="0072004F" w:rsidP="00A47351">
      <w:pPr>
        <w:tabs>
          <w:tab w:val="left" w:pos="284"/>
        </w:tabs>
        <w:jc w:val="both"/>
        <w:rPr>
          <w:rFonts w:ascii="Calibri" w:hAnsi="Calibri"/>
          <w:sz w:val="20"/>
          <w:szCs w:val="20"/>
        </w:rPr>
      </w:pPr>
    </w:p>
    <w:p w:rsidR="0072004F" w:rsidRPr="00707839" w:rsidRDefault="0072004F" w:rsidP="0072004F">
      <w:pPr>
        <w:tabs>
          <w:tab w:val="left" w:pos="284"/>
        </w:tabs>
        <w:jc w:val="center"/>
        <w:rPr>
          <w:rFonts w:ascii="Calibri" w:hAnsi="Calibri"/>
          <w:sz w:val="20"/>
          <w:szCs w:val="20"/>
        </w:rPr>
      </w:pPr>
    </w:p>
    <w:p w:rsidR="0072004F" w:rsidRPr="00707839" w:rsidRDefault="00DF43BB" w:rsidP="00601199">
      <w:pPr>
        <w:tabs>
          <w:tab w:val="left" w:pos="284"/>
        </w:tabs>
        <w:jc w:val="center"/>
        <w:rPr>
          <w:rFonts w:ascii="Calibri" w:hAnsi="Calibri"/>
          <w:sz w:val="20"/>
          <w:szCs w:val="20"/>
        </w:rPr>
      </w:pPr>
      <w:r w:rsidRPr="00707839">
        <w:rPr>
          <w:noProof/>
          <w:lang w:eastAsia="es-MX"/>
        </w:rPr>
        <w:drawing>
          <wp:inline distT="0" distB="0" distL="0" distR="0">
            <wp:extent cx="4410075" cy="1219200"/>
            <wp:effectExtent l="0" t="0" r="9525"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10075" cy="1219200"/>
                    </a:xfrm>
                    <a:prstGeom prst="rect">
                      <a:avLst/>
                    </a:prstGeom>
                    <a:noFill/>
                    <a:ln>
                      <a:noFill/>
                    </a:ln>
                  </pic:spPr>
                </pic:pic>
              </a:graphicData>
            </a:graphic>
          </wp:inline>
        </w:drawing>
      </w:r>
    </w:p>
    <w:p w:rsidR="00601199" w:rsidRPr="00707839" w:rsidRDefault="00601199" w:rsidP="00601199">
      <w:pPr>
        <w:tabs>
          <w:tab w:val="left" w:pos="284"/>
        </w:tabs>
        <w:jc w:val="center"/>
        <w:rPr>
          <w:rFonts w:ascii="Calibri" w:hAnsi="Calibri"/>
          <w:sz w:val="20"/>
          <w:szCs w:val="20"/>
        </w:rPr>
      </w:pPr>
    </w:p>
    <w:p w:rsidR="00A47351" w:rsidRPr="00707839" w:rsidRDefault="00A47351" w:rsidP="00A47351">
      <w:pPr>
        <w:pStyle w:val="Prrafodelista"/>
        <w:numPr>
          <w:ilvl w:val="0"/>
          <w:numId w:val="9"/>
        </w:numPr>
        <w:tabs>
          <w:tab w:val="left" w:pos="284"/>
          <w:tab w:val="left" w:pos="426"/>
        </w:tabs>
        <w:ind w:left="0" w:firstLine="0"/>
        <w:jc w:val="both"/>
        <w:rPr>
          <w:rFonts w:ascii="Calibri" w:hAnsi="Calibri"/>
          <w:b/>
          <w:sz w:val="20"/>
          <w:szCs w:val="20"/>
        </w:rPr>
      </w:pPr>
      <w:r w:rsidRPr="00707839">
        <w:rPr>
          <w:rFonts w:ascii="Calibri" w:hAnsi="Calibri"/>
          <w:sz w:val="20"/>
          <w:szCs w:val="20"/>
        </w:rPr>
        <w:t>La cuenta de realización de eventos artísticos de la Orquesta Sinfónica de Yucatán, acumula los gastos por honorarios, pasajes aéreos, transporte terrestre, hospedaje y viáticos de los directores invitados, solistas, músicos extras y artistas invitados en general por la Orquesta Sinfónica de Yucatán para participar en los conciertos programados en las Temporadas XXXV</w:t>
      </w:r>
      <w:r w:rsidR="004C77E4" w:rsidRPr="00707839">
        <w:rPr>
          <w:rFonts w:ascii="Calibri" w:hAnsi="Calibri"/>
          <w:sz w:val="20"/>
          <w:szCs w:val="20"/>
        </w:rPr>
        <w:t>II</w:t>
      </w:r>
      <w:r w:rsidRPr="00707839">
        <w:rPr>
          <w:rFonts w:ascii="Calibri" w:hAnsi="Calibri"/>
          <w:sz w:val="20"/>
          <w:szCs w:val="20"/>
        </w:rPr>
        <w:t xml:space="preserve"> Enero-Junio</w:t>
      </w:r>
      <w:r w:rsidR="00DC3877" w:rsidRPr="00707839">
        <w:rPr>
          <w:rFonts w:ascii="Calibri" w:hAnsi="Calibri"/>
          <w:sz w:val="20"/>
          <w:szCs w:val="20"/>
        </w:rPr>
        <w:t xml:space="preserve"> y XXXVI</w:t>
      </w:r>
      <w:r w:rsidR="004C77E4" w:rsidRPr="00707839">
        <w:rPr>
          <w:rFonts w:ascii="Calibri" w:hAnsi="Calibri"/>
          <w:sz w:val="20"/>
          <w:szCs w:val="20"/>
        </w:rPr>
        <w:t>II</w:t>
      </w:r>
      <w:r w:rsidR="00DC3877" w:rsidRPr="00707839">
        <w:rPr>
          <w:rFonts w:ascii="Calibri" w:hAnsi="Calibri"/>
          <w:sz w:val="20"/>
          <w:szCs w:val="20"/>
        </w:rPr>
        <w:t xml:space="preserve"> Septiembre-Diciembre</w:t>
      </w:r>
      <w:r w:rsidRPr="00707839">
        <w:rPr>
          <w:rFonts w:ascii="Calibri" w:hAnsi="Calibri"/>
          <w:sz w:val="20"/>
          <w:szCs w:val="20"/>
        </w:rPr>
        <w:t xml:space="preserve"> del ejercicio 202</w:t>
      </w:r>
      <w:r w:rsidR="004C77E4" w:rsidRPr="00707839">
        <w:rPr>
          <w:rFonts w:ascii="Calibri" w:hAnsi="Calibri"/>
          <w:sz w:val="20"/>
          <w:szCs w:val="20"/>
        </w:rPr>
        <w:t>2</w:t>
      </w:r>
      <w:r w:rsidRPr="00707839">
        <w:rPr>
          <w:rFonts w:ascii="Calibri" w:hAnsi="Calibri"/>
          <w:sz w:val="20"/>
          <w:szCs w:val="20"/>
        </w:rPr>
        <w:t>.</w:t>
      </w:r>
    </w:p>
    <w:p w:rsidR="00A47351" w:rsidRPr="00707839" w:rsidRDefault="00A47351" w:rsidP="00A47351">
      <w:pPr>
        <w:pStyle w:val="Prrafodelista"/>
        <w:tabs>
          <w:tab w:val="left" w:pos="284"/>
          <w:tab w:val="left" w:pos="426"/>
        </w:tabs>
        <w:ind w:left="0"/>
        <w:jc w:val="both"/>
        <w:rPr>
          <w:rFonts w:ascii="Calibri" w:hAnsi="Calibri"/>
          <w:b/>
          <w:sz w:val="20"/>
          <w:szCs w:val="20"/>
        </w:rPr>
      </w:pPr>
    </w:p>
    <w:p w:rsidR="00A47351" w:rsidRPr="00707839" w:rsidRDefault="00A47351" w:rsidP="00A47351">
      <w:pPr>
        <w:pStyle w:val="Prrafodelista"/>
        <w:numPr>
          <w:ilvl w:val="0"/>
          <w:numId w:val="9"/>
        </w:numPr>
        <w:tabs>
          <w:tab w:val="left" w:pos="284"/>
          <w:tab w:val="left" w:pos="426"/>
        </w:tabs>
        <w:ind w:left="0" w:firstLine="0"/>
        <w:jc w:val="both"/>
        <w:rPr>
          <w:rFonts w:ascii="Calibri" w:hAnsi="Calibri"/>
          <w:sz w:val="20"/>
          <w:szCs w:val="20"/>
        </w:rPr>
      </w:pPr>
      <w:r w:rsidRPr="00707839">
        <w:rPr>
          <w:rFonts w:ascii="Calibri" w:hAnsi="Calibri"/>
          <w:sz w:val="20"/>
          <w:szCs w:val="20"/>
        </w:rPr>
        <w:lastRenderedPageBreak/>
        <w:t>La cuenta de difusión de eventos de la Orquesta Sinfónica de Yucatán, registra los gastos necesarios para promocionar los diferentes conciertos, ópera, gala de ballet, presentaciones especiales y en general, en periódicos, revistas, espectaculares, pautas de radio, impresión de programas de mano de los conciertos y cuadernillos generales de las Temporadas XXXV</w:t>
      </w:r>
      <w:r w:rsidR="00745733" w:rsidRPr="00707839">
        <w:rPr>
          <w:rFonts w:ascii="Calibri" w:hAnsi="Calibri"/>
          <w:sz w:val="20"/>
          <w:szCs w:val="20"/>
        </w:rPr>
        <w:t>II</w:t>
      </w:r>
      <w:r w:rsidRPr="00707839">
        <w:rPr>
          <w:rFonts w:ascii="Calibri" w:hAnsi="Calibri"/>
          <w:sz w:val="20"/>
          <w:szCs w:val="20"/>
        </w:rPr>
        <w:t xml:space="preserve"> Enero-Junio</w:t>
      </w:r>
      <w:r w:rsidR="00E968C3" w:rsidRPr="00707839">
        <w:rPr>
          <w:rFonts w:ascii="Calibri" w:hAnsi="Calibri"/>
          <w:sz w:val="20"/>
          <w:szCs w:val="20"/>
        </w:rPr>
        <w:t xml:space="preserve"> y XXXVI</w:t>
      </w:r>
      <w:r w:rsidR="00745733" w:rsidRPr="00707839">
        <w:rPr>
          <w:rFonts w:ascii="Calibri" w:hAnsi="Calibri"/>
          <w:sz w:val="20"/>
          <w:szCs w:val="20"/>
        </w:rPr>
        <w:t>II</w:t>
      </w:r>
      <w:r w:rsidR="00E968C3" w:rsidRPr="00707839">
        <w:rPr>
          <w:rFonts w:ascii="Calibri" w:hAnsi="Calibri"/>
          <w:sz w:val="20"/>
          <w:szCs w:val="20"/>
        </w:rPr>
        <w:t xml:space="preserve"> Septiembre-Diciembre</w:t>
      </w:r>
      <w:r w:rsidRPr="00707839">
        <w:rPr>
          <w:rFonts w:ascii="Calibri" w:hAnsi="Calibri"/>
          <w:sz w:val="20"/>
          <w:szCs w:val="20"/>
        </w:rPr>
        <w:t xml:space="preserve"> del ejercicio 202</w:t>
      </w:r>
      <w:r w:rsidR="00745733" w:rsidRPr="00707839">
        <w:rPr>
          <w:rFonts w:ascii="Calibri" w:hAnsi="Calibri"/>
          <w:sz w:val="20"/>
          <w:szCs w:val="20"/>
        </w:rPr>
        <w:t>2</w:t>
      </w:r>
      <w:r w:rsidRPr="00707839">
        <w:rPr>
          <w:rFonts w:ascii="Calibri" w:hAnsi="Calibri"/>
          <w:sz w:val="20"/>
          <w:szCs w:val="20"/>
        </w:rPr>
        <w:t xml:space="preserve">. Estas erogaciones se efectúan con el objeto de cumplir con lo establecido en el artículo 2 del decreto número 69 que autoriza </w:t>
      </w:r>
      <w:r w:rsidR="006B2008" w:rsidRPr="00707839">
        <w:rPr>
          <w:rFonts w:ascii="Calibri" w:hAnsi="Calibri"/>
          <w:sz w:val="20"/>
          <w:szCs w:val="20"/>
        </w:rPr>
        <w:t xml:space="preserve">la </w:t>
      </w:r>
      <w:r w:rsidRPr="00707839">
        <w:rPr>
          <w:rFonts w:ascii="Calibri" w:hAnsi="Calibri"/>
          <w:sz w:val="20"/>
          <w:szCs w:val="20"/>
        </w:rPr>
        <w:t>creación del FIGAROSY, el cual menciona que tendrá como fin la administración e inversión de los recursos para la difusión, preservación, impulso y permanencia de la Orquesta Sinfónica de Yucatán.</w:t>
      </w:r>
    </w:p>
    <w:p w:rsidR="00A47351" w:rsidRPr="00707839" w:rsidRDefault="00A47351" w:rsidP="00A47351">
      <w:pPr>
        <w:tabs>
          <w:tab w:val="left" w:pos="426"/>
        </w:tabs>
        <w:rPr>
          <w:rFonts w:ascii="Calibri" w:hAnsi="Calibri"/>
          <w:b/>
          <w:sz w:val="20"/>
          <w:szCs w:val="20"/>
        </w:rPr>
      </w:pPr>
    </w:p>
    <w:p w:rsidR="00C243D7" w:rsidRPr="00707839" w:rsidRDefault="00C243D7" w:rsidP="00A47351">
      <w:pPr>
        <w:tabs>
          <w:tab w:val="left" w:pos="426"/>
        </w:tabs>
        <w:rPr>
          <w:rFonts w:ascii="Calibri" w:hAnsi="Calibri"/>
          <w:b/>
          <w:sz w:val="20"/>
          <w:szCs w:val="20"/>
        </w:rPr>
      </w:pPr>
    </w:p>
    <w:p w:rsidR="00A47351" w:rsidRPr="00707839" w:rsidRDefault="00A47351" w:rsidP="00A47351">
      <w:pPr>
        <w:tabs>
          <w:tab w:val="left" w:pos="426"/>
        </w:tabs>
        <w:rPr>
          <w:rFonts w:ascii="Calibri" w:hAnsi="Calibri"/>
          <w:b/>
          <w:sz w:val="20"/>
          <w:szCs w:val="20"/>
        </w:rPr>
      </w:pPr>
      <w:r w:rsidRPr="00707839">
        <w:rPr>
          <w:rFonts w:ascii="Calibri" w:hAnsi="Calibri"/>
          <w:b/>
          <w:sz w:val="20"/>
          <w:szCs w:val="20"/>
        </w:rPr>
        <w:t>2.4.2 Otros Gastos y Pérdidas Extraordinarias.</w:t>
      </w:r>
    </w:p>
    <w:p w:rsidR="00A47351" w:rsidRPr="00707839" w:rsidRDefault="00A47351" w:rsidP="00A47351">
      <w:pPr>
        <w:tabs>
          <w:tab w:val="left" w:pos="426"/>
        </w:tabs>
        <w:rPr>
          <w:rFonts w:ascii="Calibri" w:hAnsi="Calibri"/>
          <w:b/>
          <w:sz w:val="20"/>
          <w:szCs w:val="20"/>
        </w:rPr>
      </w:pPr>
    </w:p>
    <w:p w:rsidR="00A47351" w:rsidRPr="00707839" w:rsidRDefault="00A47351" w:rsidP="00A47351">
      <w:pPr>
        <w:tabs>
          <w:tab w:val="left" w:pos="426"/>
        </w:tabs>
        <w:rPr>
          <w:rFonts w:ascii="Calibri" w:hAnsi="Calibri"/>
          <w:sz w:val="20"/>
          <w:szCs w:val="20"/>
        </w:rPr>
      </w:pPr>
      <w:r w:rsidRPr="00707839">
        <w:rPr>
          <w:rFonts w:ascii="Calibri" w:hAnsi="Calibri"/>
          <w:sz w:val="20"/>
          <w:szCs w:val="20"/>
        </w:rPr>
        <w:t>La cuenta de estimaciones, depreciaciones, deterioros, obsolescencia y amortizaciones, se integra de la siguiente manera:</w:t>
      </w:r>
    </w:p>
    <w:p w:rsidR="0072004F" w:rsidRPr="00707839" w:rsidRDefault="0072004F" w:rsidP="00A47351">
      <w:pPr>
        <w:tabs>
          <w:tab w:val="left" w:pos="426"/>
        </w:tabs>
        <w:rPr>
          <w:rFonts w:ascii="Calibri" w:hAnsi="Calibri"/>
          <w:sz w:val="20"/>
          <w:szCs w:val="20"/>
        </w:rPr>
      </w:pPr>
    </w:p>
    <w:p w:rsidR="0072004F" w:rsidRPr="00707839" w:rsidRDefault="0072004F" w:rsidP="0072004F">
      <w:pPr>
        <w:tabs>
          <w:tab w:val="left" w:pos="426"/>
        </w:tabs>
        <w:jc w:val="center"/>
        <w:rPr>
          <w:rFonts w:ascii="Calibri" w:hAnsi="Calibri"/>
          <w:b/>
          <w:sz w:val="20"/>
          <w:szCs w:val="20"/>
        </w:rPr>
      </w:pPr>
    </w:p>
    <w:p w:rsidR="00A47351" w:rsidRPr="00707839" w:rsidRDefault="00DF43BB" w:rsidP="00127CAD">
      <w:pPr>
        <w:pStyle w:val="Prrafodelista"/>
        <w:tabs>
          <w:tab w:val="left" w:pos="426"/>
        </w:tabs>
        <w:ind w:left="0"/>
        <w:jc w:val="center"/>
        <w:rPr>
          <w:rFonts w:ascii="Calibri" w:hAnsi="Calibri"/>
          <w:sz w:val="20"/>
          <w:szCs w:val="20"/>
        </w:rPr>
      </w:pPr>
      <w:r w:rsidRPr="00707839">
        <w:rPr>
          <w:noProof/>
          <w:lang w:eastAsia="es-MX"/>
        </w:rPr>
        <w:drawing>
          <wp:inline distT="0" distB="0" distL="0" distR="0">
            <wp:extent cx="4410075" cy="590550"/>
            <wp:effectExtent l="0" t="0" r="9525"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10075" cy="590550"/>
                    </a:xfrm>
                    <a:prstGeom prst="rect">
                      <a:avLst/>
                    </a:prstGeom>
                    <a:noFill/>
                    <a:ln>
                      <a:noFill/>
                    </a:ln>
                  </pic:spPr>
                </pic:pic>
              </a:graphicData>
            </a:graphic>
          </wp:inline>
        </w:drawing>
      </w:r>
    </w:p>
    <w:p w:rsidR="00AA3E7D" w:rsidRPr="00707839" w:rsidRDefault="00AA3E7D" w:rsidP="002B7276">
      <w:pPr>
        <w:pStyle w:val="Prrafodelista"/>
        <w:tabs>
          <w:tab w:val="left" w:pos="426"/>
        </w:tabs>
        <w:ind w:left="0"/>
        <w:jc w:val="center"/>
        <w:rPr>
          <w:rFonts w:ascii="Calibri" w:hAnsi="Calibri"/>
          <w:sz w:val="20"/>
          <w:szCs w:val="20"/>
        </w:rPr>
      </w:pPr>
    </w:p>
    <w:p w:rsidR="00A47351" w:rsidRDefault="00A47351" w:rsidP="00A47351">
      <w:pPr>
        <w:pStyle w:val="Prrafodelista"/>
        <w:numPr>
          <w:ilvl w:val="0"/>
          <w:numId w:val="10"/>
        </w:numPr>
        <w:tabs>
          <w:tab w:val="left" w:pos="284"/>
        </w:tabs>
        <w:ind w:left="0" w:firstLine="0"/>
        <w:jc w:val="both"/>
        <w:rPr>
          <w:rFonts w:ascii="Calibri" w:hAnsi="Calibri"/>
          <w:sz w:val="20"/>
          <w:szCs w:val="20"/>
        </w:rPr>
      </w:pPr>
      <w:r w:rsidRPr="00707839">
        <w:rPr>
          <w:rFonts w:ascii="Calibri" w:hAnsi="Calibri"/>
          <w:sz w:val="20"/>
          <w:szCs w:val="20"/>
        </w:rPr>
        <w:t>La cuenta depreciación de bienes muebles, corresponde al deterioro por el uso del mobiliario y equipo</w:t>
      </w:r>
      <w:r w:rsidR="00EF0E7F" w:rsidRPr="00707839">
        <w:rPr>
          <w:rFonts w:ascii="Calibri" w:hAnsi="Calibri"/>
          <w:sz w:val="20"/>
          <w:szCs w:val="20"/>
        </w:rPr>
        <w:t>, bienes</w:t>
      </w:r>
      <w:r w:rsidRPr="00707839">
        <w:rPr>
          <w:rFonts w:ascii="Calibri" w:hAnsi="Calibri"/>
          <w:sz w:val="20"/>
          <w:szCs w:val="20"/>
        </w:rPr>
        <w:t xml:space="preserve"> artísticos y culturales, bienes informáticos, y maquinaria, otros equipos y herramientas por el período del </w:t>
      </w:r>
      <w:r w:rsidR="00C137D2" w:rsidRPr="00707839">
        <w:rPr>
          <w:rFonts w:ascii="Calibri" w:hAnsi="Calibri"/>
          <w:sz w:val="20"/>
          <w:szCs w:val="20"/>
        </w:rPr>
        <w:t xml:space="preserve">1 de </w:t>
      </w:r>
      <w:r w:rsidR="00EF0E7F" w:rsidRPr="00707839">
        <w:rPr>
          <w:rFonts w:ascii="Calibri" w:hAnsi="Calibri"/>
          <w:sz w:val="20"/>
          <w:szCs w:val="20"/>
        </w:rPr>
        <w:t>enero</w:t>
      </w:r>
      <w:r w:rsidR="00C137D2" w:rsidRPr="00707839">
        <w:rPr>
          <w:rFonts w:ascii="Calibri" w:hAnsi="Calibri"/>
          <w:sz w:val="20"/>
          <w:szCs w:val="20"/>
        </w:rPr>
        <w:t xml:space="preserve"> </w:t>
      </w:r>
      <w:r w:rsidR="00BD2A58" w:rsidRPr="00707839">
        <w:rPr>
          <w:rFonts w:ascii="Calibri" w:hAnsi="Calibri"/>
          <w:sz w:val="20"/>
          <w:szCs w:val="20"/>
        </w:rPr>
        <w:t xml:space="preserve">al </w:t>
      </w:r>
      <w:r w:rsidR="001A2FAC" w:rsidRPr="00707839">
        <w:rPr>
          <w:rFonts w:ascii="Calibri" w:hAnsi="Calibri"/>
          <w:sz w:val="20"/>
          <w:szCs w:val="20"/>
        </w:rPr>
        <w:t>31 de Mayo de 2022</w:t>
      </w:r>
      <w:r w:rsidRPr="00707839">
        <w:rPr>
          <w:rFonts w:ascii="Calibri" w:hAnsi="Calibri"/>
          <w:sz w:val="20"/>
          <w:szCs w:val="20"/>
        </w:rPr>
        <w:t>.</w:t>
      </w:r>
    </w:p>
    <w:p w:rsidR="006E7C7C" w:rsidRDefault="006E7C7C" w:rsidP="006E7C7C">
      <w:pPr>
        <w:tabs>
          <w:tab w:val="left" w:pos="284"/>
        </w:tabs>
        <w:jc w:val="both"/>
        <w:rPr>
          <w:rFonts w:ascii="Calibri" w:hAnsi="Calibri"/>
          <w:sz w:val="20"/>
          <w:szCs w:val="20"/>
        </w:rPr>
      </w:pPr>
    </w:p>
    <w:p w:rsidR="006E7C7C" w:rsidRPr="006E7C7C" w:rsidRDefault="006E7C7C" w:rsidP="006E7C7C">
      <w:pPr>
        <w:tabs>
          <w:tab w:val="left" w:pos="284"/>
        </w:tabs>
        <w:jc w:val="both"/>
        <w:rPr>
          <w:rFonts w:ascii="Calibri" w:hAnsi="Calibri"/>
          <w:sz w:val="20"/>
          <w:szCs w:val="20"/>
        </w:rPr>
      </w:pPr>
    </w:p>
    <w:p w:rsidR="00A47351" w:rsidRPr="00707839" w:rsidRDefault="00A47351" w:rsidP="00A47351">
      <w:pPr>
        <w:pStyle w:val="Prrafodelista"/>
        <w:tabs>
          <w:tab w:val="left" w:pos="3804"/>
        </w:tabs>
        <w:ind w:left="0"/>
        <w:jc w:val="both"/>
        <w:rPr>
          <w:rFonts w:ascii="Calibri" w:hAnsi="Calibri"/>
          <w:sz w:val="20"/>
          <w:szCs w:val="20"/>
        </w:rPr>
      </w:pPr>
      <w:r w:rsidRPr="00707839">
        <w:rPr>
          <w:rFonts w:ascii="Calibri" w:hAnsi="Calibri"/>
          <w:sz w:val="20"/>
          <w:szCs w:val="20"/>
        </w:rPr>
        <w:tab/>
      </w:r>
    </w:p>
    <w:p w:rsidR="00A47351" w:rsidRPr="00707839" w:rsidRDefault="00A47351" w:rsidP="00A47351">
      <w:pPr>
        <w:pStyle w:val="Prrafodelista"/>
        <w:numPr>
          <w:ilvl w:val="0"/>
          <w:numId w:val="26"/>
        </w:numPr>
        <w:tabs>
          <w:tab w:val="left" w:pos="426"/>
        </w:tabs>
        <w:rPr>
          <w:rFonts w:ascii="Calibri" w:hAnsi="Calibri"/>
          <w:b/>
          <w:sz w:val="20"/>
          <w:szCs w:val="20"/>
        </w:rPr>
      </w:pPr>
      <w:r w:rsidRPr="00707839">
        <w:rPr>
          <w:rFonts w:ascii="Calibri" w:hAnsi="Calibri"/>
          <w:b/>
          <w:sz w:val="20"/>
          <w:szCs w:val="20"/>
        </w:rPr>
        <w:t>NOTAS AL ESTADO DE VARIACIÓN EN LA HACIENDA PÚBLICA / PATRIMONIO.</w:t>
      </w:r>
    </w:p>
    <w:p w:rsidR="00A47351" w:rsidRPr="00707839" w:rsidRDefault="00A47351" w:rsidP="00A47351">
      <w:pPr>
        <w:pStyle w:val="Prrafodelista"/>
        <w:tabs>
          <w:tab w:val="left" w:pos="284"/>
        </w:tabs>
        <w:ind w:left="0"/>
        <w:jc w:val="both"/>
        <w:rPr>
          <w:rFonts w:ascii="Calibri" w:hAnsi="Calibri"/>
          <w:sz w:val="20"/>
          <w:szCs w:val="20"/>
        </w:rPr>
      </w:pPr>
    </w:p>
    <w:p w:rsidR="00A47351" w:rsidRPr="00707839" w:rsidRDefault="00A47351" w:rsidP="00A47351">
      <w:pPr>
        <w:pStyle w:val="Prrafodelista"/>
        <w:tabs>
          <w:tab w:val="left" w:pos="284"/>
        </w:tabs>
        <w:ind w:left="0"/>
        <w:jc w:val="both"/>
        <w:rPr>
          <w:rFonts w:ascii="Calibri" w:hAnsi="Calibri"/>
          <w:sz w:val="20"/>
          <w:szCs w:val="20"/>
        </w:rPr>
      </w:pPr>
      <w:r w:rsidRPr="00707839">
        <w:rPr>
          <w:rFonts w:ascii="Calibri" w:hAnsi="Calibri"/>
          <w:b/>
          <w:sz w:val="20"/>
          <w:szCs w:val="20"/>
        </w:rPr>
        <w:t>3.1</w:t>
      </w:r>
      <w:r w:rsidRPr="00707839">
        <w:rPr>
          <w:rFonts w:ascii="Calibri" w:hAnsi="Calibri"/>
          <w:sz w:val="20"/>
          <w:szCs w:val="20"/>
        </w:rPr>
        <w:t xml:space="preserve"> En el rubro de Hacienda pública / Patrimonio G</w:t>
      </w:r>
      <w:r w:rsidR="00C137D2" w:rsidRPr="00707839">
        <w:rPr>
          <w:rFonts w:ascii="Calibri" w:hAnsi="Calibri"/>
          <w:sz w:val="20"/>
          <w:szCs w:val="20"/>
        </w:rPr>
        <w:t xml:space="preserve">enerado </w:t>
      </w:r>
      <w:r w:rsidR="00BD2A58" w:rsidRPr="00707839">
        <w:rPr>
          <w:rFonts w:ascii="Calibri" w:hAnsi="Calibri"/>
          <w:sz w:val="20"/>
          <w:szCs w:val="20"/>
        </w:rPr>
        <w:t xml:space="preserve">al </w:t>
      </w:r>
      <w:r w:rsidR="001A2FAC" w:rsidRPr="00707839">
        <w:rPr>
          <w:rFonts w:ascii="Calibri" w:hAnsi="Calibri"/>
          <w:sz w:val="20"/>
          <w:szCs w:val="20"/>
        </w:rPr>
        <w:t>31 de Mayo de 2022</w:t>
      </w:r>
      <w:r w:rsidRPr="00707839">
        <w:rPr>
          <w:rFonts w:ascii="Calibri" w:hAnsi="Calibri"/>
          <w:sz w:val="20"/>
          <w:szCs w:val="20"/>
        </w:rPr>
        <w:t>, el Fideicomiso Garante de la Orquesta Sinfónica de Yucatán ha generado ahorros y/o desahorros en los ejercicios 2009, 2010, 2011, 2012, 2013, 2014</w:t>
      </w:r>
      <w:r w:rsidR="00EF0E7F" w:rsidRPr="00707839">
        <w:rPr>
          <w:rFonts w:ascii="Calibri" w:hAnsi="Calibri"/>
          <w:sz w:val="20"/>
          <w:szCs w:val="20"/>
        </w:rPr>
        <w:t>, 2015, 2016, 2017, 2018, 2019,</w:t>
      </w:r>
      <w:r w:rsidRPr="00707839">
        <w:rPr>
          <w:rFonts w:ascii="Calibri" w:hAnsi="Calibri"/>
          <w:sz w:val="20"/>
          <w:szCs w:val="20"/>
        </w:rPr>
        <w:t xml:space="preserve"> 2020</w:t>
      </w:r>
      <w:r w:rsidR="00EF0E7F" w:rsidRPr="00707839">
        <w:rPr>
          <w:rFonts w:ascii="Calibri" w:hAnsi="Calibri"/>
          <w:sz w:val="20"/>
          <w:szCs w:val="20"/>
        </w:rPr>
        <w:t xml:space="preserve"> y 2021</w:t>
      </w:r>
      <w:r w:rsidRPr="00707839">
        <w:rPr>
          <w:rFonts w:ascii="Calibri" w:hAnsi="Calibri"/>
          <w:sz w:val="20"/>
          <w:szCs w:val="20"/>
        </w:rPr>
        <w:t>, y a su vez se han efectuado rectificaciones posteriores, quedando como sigue:</w:t>
      </w:r>
    </w:p>
    <w:p w:rsidR="0072004F" w:rsidRPr="00707839" w:rsidRDefault="0072004F" w:rsidP="00A47351">
      <w:pPr>
        <w:pStyle w:val="Prrafodelista"/>
        <w:tabs>
          <w:tab w:val="left" w:pos="284"/>
        </w:tabs>
        <w:ind w:left="0"/>
        <w:jc w:val="both"/>
        <w:rPr>
          <w:rFonts w:ascii="Calibri" w:hAnsi="Calibri"/>
          <w:sz w:val="20"/>
          <w:szCs w:val="20"/>
        </w:rPr>
      </w:pPr>
    </w:p>
    <w:p w:rsidR="004238C9" w:rsidRPr="00707839" w:rsidRDefault="004238C9" w:rsidP="00A47351">
      <w:pPr>
        <w:pStyle w:val="Prrafodelista"/>
        <w:tabs>
          <w:tab w:val="left" w:pos="284"/>
        </w:tabs>
        <w:ind w:left="0"/>
        <w:jc w:val="both"/>
        <w:rPr>
          <w:rFonts w:ascii="Calibri" w:hAnsi="Calibri"/>
          <w:sz w:val="20"/>
          <w:szCs w:val="20"/>
        </w:rPr>
      </w:pPr>
    </w:p>
    <w:p w:rsidR="004238C9" w:rsidRPr="00707839" w:rsidRDefault="004238C9" w:rsidP="00A47351">
      <w:pPr>
        <w:pStyle w:val="Prrafodelista"/>
        <w:tabs>
          <w:tab w:val="left" w:pos="284"/>
        </w:tabs>
        <w:ind w:left="0"/>
        <w:jc w:val="both"/>
        <w:rPr>
          <w:rFonts w:ascii="Calibri" w:hAnsi="Calibri"/>
          <w:sz w:val="20"/>
          <w:szCs w:val="20"/>
        </w:rPr>
      </w:pPr>
    </w:p>
    <w:p w:rsidR="0072004F" w:rsidRPr="00707839" w:rsidRDefault="0072004F" w:rsidP="0088659F">
      <w:pPr>
        <w:pStyle w:val="Prrafodelista"/>
        <w:tabs>
          <w:tab w:val="left" w:pos="284"/>
        </w:tabs>
        <w:ind w:left="0"/>
        <w:jc w:val="center"/>
        <w:rPr>
          <w:rFonts w:ascii="Calibri" w:hAnsi="Calibri"/>
          <w:sz w:val="20"/>
          <w:szCs w:val="20"/>
        </w:rPr>
      </w:pPr>
    </w:p>
    <w:p w:rsidR="0072004F" w:rsidRPr="00707839" w:rsidRDefault="004238C9" w:rsidP="00745733">
      <w:pPr>
        <w:pStyle w:val="Prrafodelista"/>
        <w:tabs>
          <w:tab w:val="left" w:pos="284"/>
        </w:tabs>
        <w:ind w:left="0"/>
        <w:jc w:val="center"/>
        <w:rPr>
          <w:rFonts w:ascii="Calibri" w:hAnsi="Calibri"/>
          <w:sz w:val="20"/>
          <w:szCs w:val="20"/>
        </w:rPr>
      </w:pPr>
      <w:r w:rsidRPr="00707839">
        <w:rPr>
          <w:noProof/>
          <w:lang w:eastAsia="es-MX"/>
        </w:rPr>
        <w:lastRenderedPageBreak/>
        <w:drawing>
          <wp:inline distT="0" distB="0" distL="0" distR="0">
            <wp:extent cx="6743700" cy="2009775"/>
            <wp:effectExtent l="0" t="0" r="0" b="952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43700" cy="2009775"/>
                    </a:xfrm>
                    <a:prstGeom prst="rect">
                      <a:avLst/>
                    </a:prstGeom>
                    <a:noFill/>
                    <a:ln>
                      <a:noFill/>
                    </a:ln>
                  </pic:spPr>
                </pic:pic>
              </a:graphicData>
            </a:graphic>
          </wp:inline>
        </w:drawing>
      </w:r>
    </w:p>
    <w:p w:rsidR="00C243D7" w:rsidRPr="00707839" w:rsidRDefault="00C243D7" w:rsidP="00745733">
      <w:pPr>
        <w:pStyle w:val="Prrafodelista"/>
        <w:tabs>
          <w:tab w:val="left" w:pos="284"/>
        </w:tabs>
        <w:ind w:left="0"/>
        <w:jc w:val="center"/>
        <w:rPr>
          <w:rFonts w:ascii="Calibri" w:hAnsi="Calibri"/>
          <w:sz w:val="20"/>
          <w:szCs w:val="20"/>
        </w:rPr>
      </w:pPr>
    </w:p>
    <w:p w:rsidR="00C243D7" w:rsidRPr="00707839" w:rsidRDefault="00C243D7" w:rsidP="00745733">
      <w:pPr>
        <w:pStyle w:val="Prrafodelista"/>
        <w:tabs>
          <w:tab w:val="left" w:pos="284"/>
        </w:tabs>
        <w:ind w:left="0"/>
        <w:jc w:val="center"/>
        <w:rPr>
          <w:rFonts w:ascii="Calibri" w:hAnsi="Calibri"/>
          <w:sz w:val="20"/>
          <w:szCs w:val="20"/>
        </w:rPr>
      </w:pPr>
    </w:p>
    <w:p w:rsidR="004238C9" w:rsidRPr="00707839" w:rsidRDefault="004238C9" w:rsidP="00745733">
      <w:pPr>
        <w:pStyle w:val="Prrafodelista"/>
        <w:tabs>
          <w:tab w:val="left" w:pos="284"/>
        </w:tabs>
        <w:ind w:left="0"/>
        <w:jc w:val="center"/>
        <w:rPr>
          <w:rFonts w:ascii="Calibri" w:hAnsi="Calibri"/>
          <w:sz w:val="20"/>
          <w:szCs w:val="20"/>
        </w:rPr>
      </w:pPr>
    </w:p>
    <w:p w:rsidR="00B54F3D" w:rsidRPr="00707839" w:rsidRDefault="00B54F3D" w:rsidP="00A47351">
      <w:pPr>
        <w:pStyle w:val="Prrafodelista"/>
        <w:tabs>
          <w:tab w:val="left" w:pos="426"/>
        </w:tabs>
        <w:ind w:left="0"/>
        <w:rPr>
          <w:rFonts w:ascii="Calibri" w:hAnsi="Calibri" w:cs="Arial"/>
          <w:bCs/>
          <w:sz w:val="20"/>
          <w:szCs w:val="20"/>
        </w:rPr>
      </w:pPr>
    </w:p>
    <w:p w:rsidR="006E7C7C" w:rsidRDefault="006E7C7C" w:rsidP="00A47351">
      <w:pPr>
        <w:pStyle w:val="Prrafodelista"/>
        <w:tabs>
          <w:tab w:val="left" w:pos="426"/>
        </w:tabs>
        <w:ind w:left="0"/>
        <w:jc w:val="both"/>
        <w:rPr>
          <w:rFonts w:ascii="Calibri" w:hAnsi="Calibri"/>
          <w:b/>
          <w:sz w:val="20"/>
          <w:szCs w:val="20"/>
        </w:rPr>
      </w:pPr>
    </w:p>
    <w:p w:rsidR="006E7C7C" w:rsidRDefault="006E7C7C" w:rsidP="00A47351">
      <w:pPr>
        <w:pStyle w:val="Prrafodelista"/>
        <w:tabs>
          <w:tab w:val="left" w:pos="426"/>
        </w:tabs>
        <w:ind w:left="0"/>
        <w:jc w:val="both"/>
        <w:rPr>
          <w:rFonts w:ascii="Calibri" w:hAnsi="Calibri"/>
          <w:b/>
          <w:sz w:val="20"/>
          <w:szCs w:val="20"/>
        </w:rPr>
      </w:pPr>
    </w:p>
    <w:p w:rsidR="006E7C7C" w:rsidRDefault="006E7C7C" w:rsidP="00A47351">
      <w:pPr>
        <w:pStyle w:val="Prrafodelista"/>
        <w:tabs>
          <w:tab w:val="left" w:pos="426"/>
        </w:tabs>
        <w:ind w:left="0"/>
        <w:jc w:val="both"/>
        <w:rPr>
          <w:rFonts w:ascii="Calibri" w:hAnsi="Calibri"/>
          <w:b/>
          <w:sz w:val="20"/>
          <w:szCs w:val="20"/>
        </w:rPr>
      </w:pPr>
    </w:p>
    <w:p w:rsidR="006E7C7C" w:rsidRDefault="006E7C7C" w:rsidP="00A47351">
      <w:pPr>
        <w:pStyle w:val="Prrafodelista"/>
        <w:tabs>
          <w:tab w:val="left" w:pos="426"/>
        </w:tabs>
        <w:ind w:left="0"/>
        <w:jc w:val="both"/>
        <w:rPr>
          <w:rFonts w:ascii="Calibri" w:hAnsi="Calibri"/>
          <w:b/>
          <w:sz w:val="20"/>
          <w:szCs w:val="20"/>
        </w:rPr>
      </w:pPr>
    </w:p>
    <w:p w:rsidR="006E7C7C" w:rsidRDefault="006E7C7C" w:rsidP="00A47351">
      <w:pPr>
        <w:pStyle w:val="Prrafodelista"/>
        <w:tabs>
          <w:tab w:val="left" w:pos="426"/>
        </w:tabs>
        <w:ind w:left="0"/>
        <w:jc w:val="both"/>
        <w:rPr>
          <w:rFonts w:ascii="Calibri" w:hAnsi="Calibri"/>
          <w:b/>
          <w:sz w:val="20"/>
          <w:szCs w:val="20"/>
        </w:rPr>
      </w:pPr>
    </w:p>
    <w:p w:rsidR="006E7C7C" w:rsidRDefault="006E7C7C" w:rsidP="00A47351">
      <w:pPr>
        <w:pStyle w:val="Prrafodelista"/>
        <w:tabs>
          <w:tab w:val="left" w:pos="426"/>
        </w:tabs>
        <w:ind w:left="0"/>
        <w:jc w:val="both"/>
        <w:rPr>
          <w:rFonts w:ascii="Calibri" w:hAnsi="Calibri"/>
          <w:b/>
          <w:sz w:val="20"/>
          <w:szCs w:val="20"/>
        </w:rPr>
      </w:pPr>
    </w:p>
    <w:p w:rsidR="006E7C7C" w:rsidRDefault="006E7C7C" w:rsidP="00A47351">
      <w:pPr>
        <w:pStyle w:val="Prrafodelista"/>
        <w:tabs>
          <w:tab w:val="left" w:pos="426"/>
        </w:tabs>
        <w:ind w:left="0"/>
        <w:jc w:val="both"/>
        <w:rPr>
          <w:rFonts w:ascii="Calibri" w:hAnsi="Calibri"/>
          <w:b/>
          <w:sz w:val="20"/>
          <w:szCs w:val="20"/>
        </w:rPr>
      </w:pPr>
    </w:p>
    <w:p w:rsidR="006E7C7C" w:rsidRDefault="006E7C7C" w:rsidP="00A47351">
      <w:pPr>
        <w:pStyle w:val="Prrafodelista"/>
        <w:tabs>
          <w:tab w:val="left" w:pos="426"/>
        </w:tabs>
        <w:ind w:left="0"/>
        <w:jc w:val="both"/>
        <w:rPr>
          <w:rFonts w:ascii="Calibri" w:hAnsi="Calibri"/>
          <w:b/>
          <w:sz w:val="20"/>
          <w:szCs w:val="20"/>
        </w:rPr>
      </w:pPr>
    </w:p>
    <w:p w:rsidR="006E7C7C" w:rsidRDefault="006E7C7C" w:rsidP="00A47351">
      <w:pPr>
        <w:pStyle w:val="Prrafodelista"/>
        <w:tabs>
          <w:tab w:val="left" w:pos="426"/>
        </w:tabs>
        <w:ind w:left="0"/>
        <w:jc w:val="both"/>
        <w:rPr>
          <w:rFonts w:ascii="Calibri" w:hAnsi="Calibri"/>
          <w:b/>
          <w:sz w:val="20"/>
          <w:szCs w:val="20"/>
        </w:rPr>
      </w:pPr>
    </w:p>
    <w:p w:rsidR="006E7C7C" w:rsidRDefault="006E7C7C" w:rsidP="00A47351">
      <w:pPr>
        <w:pStyle w:val="Prrafodelista"/>
        <w:tabs>
          <w:tab w:val="left" w:pos="426"/>
        </w:tabs>
        <w:ind w:left="0"/>
        <w:jc w:val="both"/>
        <w:rPr>
          <w:rFonts w:ascii="Calibri" w:hAnsi="Calibri"/>
          <w:b/>
          <w:sz w:val="20"/>
          <w:szCs w:val="20"/>
        </w:rPr>
      </w:pPr>
    </w:p>
    <w:p w:rsidR="006E7C7C" w:rsidRDefault="006E7C7C" w:rsidP="00A47351">
      <w:pPr>
        <w:pStyle w:val="Prrafodelista"/>
        <w:tabs>
          <w:tab w:val="left" w:pos="426"/>
        </w:tabs>
        <w:ind w:left="0"/>
        <w:jc w:val="both"/>
        <w:rPr>
          <w:rFonts w:ascii="Calibri" w:hAnsi="Calibri"/>
          <w:b/>
          <w:sz w:val="20"/>
          <w:szCs w:val="20"/>
        </w:rPr>
      </w:pPr>
    </w:p>
    <w:p w:rsidR="006E7C7C" w:rsidRDefault="006E7C7C" w:rsidP="00A47351">
      <w:pPr>
        <w:pStyle w:val="Prrafodelista"/>
        <w:tabs>
          <w:tab w:val="left" w:pos="426"/>
        </w:tabs>
        <w:ind w:left="0"/>
        <w:jc w:val="both"/>
        <w:rPr>
          <w:rFonts w:ascii="Calibri" w:hAnsi="Calibri"/>
          <w:b/>
          <w:sz w:val="20"/>
          <w:szCs w:val="20"/>
        </w:rPr>
      </w:pPr>
    </w:p>
    <w:p w:rsidR="00A47351" w:rsidRPr="00707839" w:rsidRDefault="00A47351" w:rsidP="00A47351">
      <w:pPr>
        <w:pStyle w:val="Prrafodelista"/>
        <w:tabs>
          <w:tab w:val="left" w:pos="426"/>
        </w:tabs>
        <w:ind w:left="0"/>
        <w:jc w:val="both"/>
        <w:rPr>
          <w:rFonts w:ascii="Calibri" w:hAnsi="Calibri"/>
          <w:sz w:val="20"/>
          <w:szCs w:val="20"/>
        </w:rPr>
      </w:pPr>
      <w:r w:rsidRPr="00707839">
        <w:rPr>
          <w:rFonts w:ascii="Calibri" w:hAnsi="Calibri"/>
          <w:b/>
          <w:sz w:val="20"/>
          <w:szCs w:val="20"/>
        </w:rPr>
        <w:t>3.1.1</w:t>
      </w:r>
      <w:r w:rsidRPr="00707839">
        <w:rPr>
          <w:rFonts w:ascii="Calibri" w:hAnsi="Calibri"/>
          <w:sz w:val="20"/>
          <w:szCs w:val="20"/>
        </w:rPr>
        <w:t xml:space="preserve"> El rubro de Variaciones de la Hacienda Pública / Patrimonio neto está conformado por los resultados de ejercicios anteriores, que se integra de la siguiente manera:</w:t>
      </w:r>
    </w:p>
    <w:p w:rsidR="00745733" w:rsidRPr="00707839" w:rsidRDefault="00745733" w:rsidP="00A47351">
      <w:pPr>
        <w:pStyle w:val="Prrafodelista"/>
        <w:tabs>
          <w:tab w:val="left" w:pos="426"/>
        </w:tabs>
        <w:ind w:left="0"/>
        <w:jc w:val="both"/>
        <w:rPr>
          <w:rFonts w:ascii="Calibri" w:hAnsi="Calibri"/>
          <w:b/>
          <w:sz w:val="20"/>
          <w:szCs w:val="20"/>
        </w:rPr>
      </w:pPr>
    </w:p>
    <w:p w:rsidR="00A47351" w:rsidRPr="00707839" w:rsidRDefault="00745733" w:rsidP="00745733">
      <w:pPr>
        <w:pStyle w:val="Prrafodelista"/>
        <w:tabs>
          <w:tab w:val="left" w:pos="284"/>
        </w:tabs>
        <w:ind w:left="0"/>
        <w:jc w:val="center"/>
        <w:rPr>
          <w:rFonts w:ascii="Calibri" w:hAnsi="Calibri"/>
          <w:sz w:val="20"/>
          <w:szCs w:val="20"/>
        </w:rPr>
      </w:pPr>
      <w:r w:rsidRPr="00707839">
        <w:rPr>
          <w:noProof/>
          <w:lang w:eastAsia="es-MX"/>
        </w:rPr>
        <w:drawing>
          <wp:inline distT="0" distB="0" distL="0" distR="0">
            <wp:extent cx="2794635" cy="2816225"/>
            <wp:effectExtent l="0" t="0" r="5715" b="317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94635" cy="2816225"/>
                    </a:xfrm>
                    <a:prstGeom prst="rect">
                      <a:avLst/>
                    </a:prstGeom>
                    <a:noFill/>
                    <a:ln>
                      <a:noFill/>
                    </a:ln>
                  </pic:spPr>
                </pic:pic>
              </a:graphicData>
            </a:graphic>
          </wp:inline>
        </w:drawing>
      </w:r>
    </w:p>
    <w:p w:rsidR="00E24EA9" w:rsidRPr="00707839" w:rsidRDefault="00E24EA9" w:rsidP="00B54F3D">
      <w:pPr>
        <w:tabs>
          <w:tab w:val="left" w:pos="1134"/>
        </w:tabs>
        <w:jc w:val="center"/>
        <w:rPr>
          <w:rFonts w:ascii="Calibri" w:hAnsi="Calibri" w:cs="Arial"/>
          <w:bCs/>
          <w:sz w:val="20"/>
          <w:szCs w:val="20"/>
        </w:rPr>
      </w:pPr>
    </w:p>
    <w:p w:rsidR="007F6C9A" w:rsidRPr="00707839" w:rsidRDefault="007F6C9A" w:rsidP="00A47351">
      <w:pPr>
        <w:tabs>
          <w:tab w:val="left" w:pos="1134"/>
        </w:tabs>
        <w:rPr>
          <w:rFonts w:ascii="Calibri" w:hAnsi="Calibri" w:cs="Arial"/>
          <w:bCs/>
          <w:sz w:val="20"/>
          <w:szCs w:val="20"/>
        </w:rPr>
      </w:pPr>
    </w:p>
    <w:p w:rsidR="00A47351" w:rsidRPr="00707839" w:rsidRDefault="00A47351" w:rsidP="00A47351">
      <w:pPr>
        <w:pStyle w:val="Prrafodelista"/>
        <w:tabs>
          <w:tab w:val="left" w:pos="0"/>
          <w:tab w:val="left" w:pos="284"/>
        </w:tabs>
        <w:ind w:left="0"/>
        <w:jc w:val="both"/>
        <w:rPr>
          <w:rFonts w:ascii="Calibri" w:hAnsi="Calibri"/>
          <w:sz w:val="20"/>
          <w:szCs w:val="20"/>
        </w:rPr>
      </w:pPr>
      <w:r w:rsidRPr="00707839">
        <w:rPr>
          <w:rFonts w:ascii="Calibri" w:hAnsi="Calibri"/>
          <w:b/>
          <w:sz w:val="20"/>
          <w:szCs w:val="20"/>
        </w:rPr>
        <w:t>3.1.2</w:t>
      </w:r>
      <w:r w:rsidRPr="00707839">
        <w:rPr>
          <w:rFonts w:ascii="Calibri" w:hAnsi="Calibri"/>
          <w:sz w:val="20"/>
          <w:szCs w:val="20"/>
        </w:rPr>
        <w:t xml:space="preserve"> La cuenta de rectificaciones de resultados a ejercicios anteriores se clasifica de la siguiente manera:</w:t>
      </w:r>
    </w:p>
    <w:p w:rsidR="002F7598" w:rsidRPr="00707839" w:rsidRDefault="002F7598" w:rsidP="00A47351">
      <w:pPr>
        <w:pStyle w:val="Prrafodelista"/>
        <w:tabs>
          <w:tab w:val="left" w:pos="0"/>
          <w:tab w:val="left" w:pos="284"/>
        </w:tabs>
        <w:ind w:left="0"/>
        <w:jc w:val="both"/>
        <w:rPr>
          <w:rFonts w:ascii="Calibri" w:hAnsi="Calibri"/>
          <w:sz w:val="20"/>
          <w:szCs w:val="20"/>
        </w:rPr>
      </w:pPr>
    </w:p>
    <w:p w:rsidR="00B54F3D" w:rsidRPr="00707839" w:rsidRDefault="009D57F4" w:rsidP="00623B28">
      <w:pPr>
        <w:pStyle w:val="Prrafodelista"/>
        <w:tabs>
          <w:tab w:val="left" w:pos="0"/>
          <w:tab w:val="left" w:pos="284"/>
        </w:tabs>
        <w:ind w:left="0"/>
        <w:jc w:val="center"/>
        <w:rPr>
          <w:rFonts w:ascii="Calibri" w:hAnsi="Calibri"/>
          <w:sz w:val="20"/>
          <w:szCs w:val="20"/>
        </w:rPr>
      </w:pPr>
      <w:r w:rsidRPr="00707839">
        <w:rPr>
          <w:noProof/>
          <w:lang w:eastAsia="es-MX"/>
        </w:rPr>
        <w:drawing>
          <wp:inline distT="0" distB="0" distL="0" distR="0">
            <wp:extent cx="3554095" cy="588645"/>
            <wp:effectExtent l="0" t="0" r="8255" b="190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54095" cy="588645"/>
                    </a:xfrm>
                    <a:prstGeom prst="rect">
                      <a:avLst/>
                    </a:prstGeom>
                    <a:noFill/>
                    <a:ln>
                      <a:noFill/>
                    </a:ln>
                  </pic:spPr>
                </pic:pic>
              </a:graphicData>
            </a:graphic>
          </wp:inline>
        </w:drawing>
      </w:r>
    </w:p>
    <w:p w:rsidR="007F6C9A" w:rsidRPr="00707839" w:rsidRDefault="007F6C9A" w:rsidP="00623B28">
      <w:pPr>
        <w:pStyle w:val="Prrafodelista"/>
        <w:tabs>
          <w:tab w:val="left" w:pos="0"/>
          <w:tab w:val="left" w:pos="284"/>
        </w:tabs>
        <w:ind w:left="0"/>
        <w:jc w:val="center"/>
        <w:rPr>
          <w:rFonts w:ascii="Calibri" w:hAnsi="Calibri"/>
          <w:sz w:val="20"/>
          <w:szCs w:val="20"/>
        </w:rPr>
      </w:pPr>
    </w:p>
    <w:p w:rsidR="00A47351" w:rsidRPr="00707839" w:rsidRDefault="00A47351" w:rsidP="00A47351">
      <w:pPr>
        <w:pStyle w:val="Prrafodelista"/>
        <w:tabs>
          <w:tab w:val="left" w:pos="0"/>
          <w:tab w:val="left" w:pos="284"/>
        </w:tabs>
        <w:ind w:left="0"/>
        <w:jc w:val="both"/>
        <w:rPr>
          <w:rFonts w:ascii="Calibri" w:hAnsi="Calibri"/>
          <w:sz w:val="20"/>
          <w:szCs w:val="20"/>
        </w:rPr>
      </w:pPr>
    </w:p>
    <w:p w:rsidR="00A47351" w:rsidRPr="00707839" w:rsidRDefault="00A47351" w:rsidP="00A47351">
      <w:pPr>
        <w:pStyle w:val="Prrafodelista"/>
        <w:tabs>
          <w:tab w:val="left" w:pos="0"/>
          <w:tab w:val="left" w:pos="284"/>
        </w:tabs>
        <w:ind w:left="0"/>
        <w:jc w:val="both"/>
        <w:rPr>
          <w:rFonts w:ascii="Calibri" w:hAnsi="Calibri"/>
          <w:sz w:val="20"/>
          <w:szCs w:val="20"/>
        </w:rPr>
      </w:pPr>
      <w:r w:rsidRPr="00707839">
        <w:rPr>
          <w:rFonts w:ascii="Calibri" w:hAnsi="Calibri"/>
          <w:b/>
          <w:sz w:val="20"/>
          <w:szCs w:val="20"/>
        </w:rPr>
        <w:t>3.1.3.1</w:t>
      </w:r>
      <w:r w:rsidRPr="00707839">
        <w:rPr>
          <w:rFonts w:ascii="Calibri" w:hAnsi="Calibri"/>
          <w:sz w:val="20"/>
          <w:szCs w:val="20"/>
        </w:rPr>
        <w:t xml:space="preserve"> La cuenta de rectificaciones de resultados a ejercicios anteriores por cambio de políticas contables, que conforma parte del patrimonio generado, acumula las depreciaciones y amortizaciones que no fueron registradas en el debido ejercicio fiscal, realizando las afectaciones posteriores al cierre de los ejercicios fiscales</w:t>
      </w:r>
      <w:r w:rsidR="00593E30" w:rsidRPr="00707839">
        <w:rPr>
          <w:rFonts w:ascii="Calibri" w:hAnsi="Calibri"/>
          <w:sz w:val="20"/>
          <w:szCs w:val="20"/>
        </w:rPr>
        <w:t xml:space="preserve"> 2009, 2010, 2011, 2012, 2013, </w:t>
      </w:r>
      <w:r w:rsidRPr="00707839">
        <w:rPr>
          <w:rFonts w:ascii="Calibri" w:hAnsi="Calibri"/>
          <w:sz w:val="20"/>
          <w:szCs w:val="20"/>
        </w:rPr>
        <w:t>2014</w:t>
      </w:r>
      <w:r w:rsidR="00745733" w:rsidRPr="00707839">
        <w:rPr>
          <w:rFonts w:ascii="Calibri" w:hAnsi="Calibri"/>
          <w:sz w:val="20"/>
          <w:szCs w:val="20"/>
        </w:rPr>
        <w:t>, 2018, 2019,</w:t>
      </w:r>
      <w:r w:rsidR="00593E30" w:rsidRPr="00707839">
        <w:rPr>
          <w:rFonts w:ascii="Calibri" w:hAnsi="Calibri"/>
          <w:sz w:val="20"/>
          <w:szCs w:val="20"/>
        </w:rPr>
        <w:t xml:space="preserve"> 2020</w:t>
      </w:r>
      <w:r w:rsidR="00745733" w:rsidRPr="00707839">
        <w:rPr>
          <w:rFonts w:ascii="Calibri" w:hAnsi="Calibri"/>
          <w:sz w:val="20"/>
          <w:szCs w:val="20"/>
        </w:rPr>
        <w:t xml:space="preserve"> y 2021</w:t>
      </w:r>
      <w:r w:rsidRPr="00707839">
        <w:rPr>
          <w:rFonts w:ascii="Calibri" w:hAnsi="Calibri"/>
          <w:sz w:val="20"/>
          <w:szCs w:val="20"/>
        </w:rPr>
        <w:t xml:space="preserve">.  </w:t>
      </w:r>
    </w:p>
    <w:p w:rsidR="00A47351" w:rsidRPr="00707839" w:rsidRDefault="00A47351" w:rsidP="00A47351">
      <w:pPr>
        <w:tabs>
          <w:tab w:val="left" w:pos="426"/>
        </w:tabs>
        <w:jc w:val="both"/>
        <w:rPr>
          <w:rFonts w:ascii="Calibri" w:hAnsi="Calibri"/>
          <w:sz w:val="20"/>
          <w:szCs w:val="20"/>
        </w:rPr>
      </w:pPr>
    </w:p>
    <w:p w:rsidR="00A47351" w:rsidRPr="00707839" w:rsidRDefault="00A47351" w:rsidP="00A47351">
      <w:pPr>
        <w:tabs>
          <w:tab w:val="left" w:pos="426"/>
        </w:tabs>
        <w:jc w:val="both"/>
        <w:rPr>
          <w:rFonts w:ascii="Calibri" w:hAnsi="Calibri"/>
          <w:sz w:val="20"/>
          <w:szCs w:val="20"/>
        </w:rPr>
      </w:pPr>
      <w:r w:rsidRPr="00707839">
        <w:rPr>
          <w:rFonts w:ascii="Calibri" w:hAnsi="Calibri"/>
          <w:sz w:val="20"/>
          <w:szCs w:val="20"/>
        </w:rPr>
        <w:t xml:space="preserve">En el mes de Diciembre de 2013, se registró la depreciación de los bienes muebles y amortización de activos intangibles que fueron adquiridos en los ejercicios 2009, 2010, 2011 y 2012, para cumplir el Acuerdo por el que se emiten las Reglas Específicas del Registro y Valoración del Patrimonio emitidas por el Consejo Nacional de Armonización Contable y publicadas en el Diario Oficial del Estado el 10 de Enero de 2012. </w:t>
      </w:r>
    </w:p>
    <w:p w:rsidR="00A47351" w:rsidRPr="00707839" w:rsidRDefault="00A47351" w:rsidP="00A47351">
      <w:pPr>
        <w:tabs>
          <w:tab w:val="left" w:pos="426"/>
        </w:tabs>
        <w:jc w:val="both"/>
        <w:rPr>
          <w:rFonts w:ascii="Calibri" w:hAnsi="Calibri"/>
          <w:sz w:val="20"/>
          <w:szCs w:val="20"/>
        </w:rPr>
      </w:pPr>
    </w:p>
    <w:p w:rsidR="00A47351" w:rsidRPr="00707839" w:rsidRDefault="00A47351" w:rsidP="00A47351">
      <w:pPr>
        <w:tabs>
          <w:tab w:val="left" w:pos="284"/>
        </w:tabs>
        <w:jc w:val="both"/>
        <w:rPr>
          <w:rFonts w:ascii="Calibri" w:hAnsi="Calibri"/>
          <w:sz w:val="20"/>
          <w:szCs w:val="20"/>
        </w:rPr>
      </w:pPr>
      <w:r w:rsidRPr="00707839">
        <w:rPr>
          <w:rFonts w:ascii="Calibri" w:hAnsi="Calibri"/>
          <w:sz w:val="20"/>
          <w:szCs w:val="20"/>
        </w:rPr>
        <w:t xml:space="preserve">En el mes de Diciembre de 2014, se registró reclasificaciones afectando la cuenta de rectificaciones a resultados a ejercicios anteriores, debido que existía la política de registrar las adquisiciones de bienes muebles, maquinaria y equipo que adquirió el Fideicomiso desde Abril de 2009 hasta Diciembre de 2013 en la cuenta contable de patrimonio contribuido. Este cambio de política de registro contable se debe a que el Consejo Nacional de Armonización Contable ha aclarado cada una de las cuentas contables que conforman la Hacienda Pública. </w:t>
      </w:r>
    </w:p>
    <w:p w:rsidR="00A47351" w:rsidRPr="00707839" w:rsidRDefault="00A47351" w:rsidP="00A47351">
      <w:pPr>
        <w:tabs>
          <w:tab w:val="left" w:pos="284"/>
        </w:tabs>
        <w:jc w:val="both"/>
        <w:rPr>
          <w:rFonts w:ascii="Calibri" w:hAnsi="Calibri"/>
          <w:sz w:val="20"/>
          <w:szCs w:val="20"/>
        </w:rPr>
      </w:pPr>
    </w:p>
    <w:p w:rsidR="00A47351" w:rsidRPr="00707839" w:rsidRDefault="00A47351" w:rsidP="00A47351">
      <w:pPr>
        <w:tabs>
          <w:tab w:val="left" w:pos="284"/>
        </w:tabs>
        <w:jc w:val="both"/>
        <w:rPr>
          <w:rFonts w:ascii="Calibri" w:hAnsi="Calibri"/>
          <w:sz w:val="20"/>
          <w:szCs w:val="20"/>
        </w:rPr>
      </w:pPr>
      <w:r w:rsidRPr="00707839">
        <w:rPr>
          <w:rFonts w:ascii="Calibri" w:hAnsi="Calibri"/>
          <w:sz w:val="20"/>
          <w:szCs w:val="20"/>
        </w:rPr>
        <w:t xml:space="preserve">Así mismo, se reclasificó los importes que acumulaba la cuenta de Donaciones de Capital, que forma parte del patrimonio contribuido, las aportaciones en especie otorgadas por el Patronato para la Orquesta Sinfónica de Yucatán por la cantidad de $ 1,600,693.00, que consta de sesenta y cuatro sillas con características específicas para los músicos de la Orquesta Sinfónica de Yucatán, ocho carritos para trasladar y resguardas las silla y un pódium para el Director Artístico; dicha donación se registró en libros contables en el mes de Diciembre de 2011 y asciende a la cantidad de $ 361,262.00. En el mes de Marzo de 2014, se donaron dieciséis paneles que conforman la concha acústica por la cantidad de $ 843,418.00. En el ejercicio 2016, se donaron un </w:t>
      </w:r>
      <w:r w:rsidRPr="00707839">
        <w:rPr>
          <w:rFonts w:ascii="Calibri" w:hAnsi="Calibri"/>
          <w:bCs/>
          <w:sz w:val="20"/>
          <w:szCs w:val="20"/>
        </w:rPr>
        <w:t xml:space="preserve"> violín y un kiosco digital interactivo para venta de localidades de la Orquesta Sinfónica de Yucatán, por la cantidad de</w:t>
      </w:r>
      <w:r w:rsidRPr="00707839">
        <w:rPr>
          <w:rFonts w:ascii="Calibri" w:hAnsi="Calibri"/>
          <w:sz w:val="20"/>
          <w:szCs w:val="20"/>
        </w:rPr>
        <w:t xml:space="preserve"> $ 396,012.00. Estos importes se reclasificaron en la cuenta de rectificaciones de resultados de ejercicios anteriores. Este cambio de política de registro contable se debe a que el Consejo Nacional de Armonización Contable ha informado a través del Plan de Cuentas, la cual define cada una de las cuentas contables que conforman la Hacienda Pública. Se integra de la siguiente manera:</w:t>
      </w:r>
    </w:p>
    <w:p w:rsidR="00745733" w:rsidRPr="00707839" w:rsidRDefault="00745733" w:rsidP="00A47351">
      <w:pPr>
        <w:tabs>
          <w:tab w:val="left" w:pos="284"/>
        </w:tabs>
        <w:jc w:val="both"/>
        <w:rPr>
          <w:rFonts w:ascii="Calibri" w:hAnsi="Calibri"/>
          <w:sz w:val="20"/>
          <w:szCs w:val="20"/>
        </w:rPr>
      </w:pPr>
    </w:p>
    <w:p w:rsidR="00623B28" w:rsidRPr="00707839" w:rsidRDefault="00623B28" w:rsidP="00745733">
      <w:pPr>
        <w:tabs>
          <w:tab w:val="left" w:pos="284"/>
        </w:tabs>
        <w:jc w:val="center"/>
        <w:rPr>
          <w:rFonts w:ascii="Calibri" w:hAnsi="Calibri"/>
          <w:sz w:val="20"/>
          <w:szCs w:val="20"/>
        </w:rPr>
      </w:pPr>
    </w:p>
    <w:p w:rsidR="007F6C9A" w:rsidRPr="00707839" w:rsidRDefault="007F6C9A" w:rsidP="00745733">
      <w:pPr>
        <w:tabs>
          <w:tab w:val="left" w:pos="284"/>
        </w:tabs>
        <w:jc w:val="center"/>
        <w:rPr>
          <w:rFonts w:ascii="Calibri" w:hAnsi="Calibri"/>
          <w:sz w:val="20"/>
          <w:szCs w:val="20"/>
        </w:rPr>
      </w:pPr>
    </w:p>
    <w:p w:rsidR="007F6C9A" w:rsidRPr="00707839" w:rsidRDefault="007F6C9A" w:rsidP="00745733">
      <w:pPr>
        <w:tabs>
          <w:tab w:val="left" w:pos="284"/>
        </w:tabs>
        <w:jc w:val="center"/>
        <w:rPr>
          <w:rFonts w:ascii="Calibri" w:hAnsi="Calibri"/>
          <w:sz w:val="20"/>
          <w:szCs w:val="20"/>
        </w:rPr>
      </w:pPr>
      <w:r w:rsidRPr="00707839">
        <w:rPr>
          <w:noProof/>
          <w:lang w:eastAsia="es-MX"/>
        </w:rPr>
        <w:lastRenderedPageBreak/>
        <w:drawing>
          <wp:inline distT="0" distB="0" distL="0" distR="0" wp14:anchorId="29DEB044" wp14:editId="5F1CEE54">
            <wp:extent cx="4411345" cy="1880235"/>
            <wp:effectExtent l="0" t="0" r="8255" b="571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411345" cy="1880235"/>
                    </a:xfrm>
                    <a:prstGeom prst="rect">
                      <a:avLst/>
                    </a:prstGeom>
                    <a:noFill/>
                    <a:ln>
                      <a:noFill/>
                    </a:ln>
                  </pic:spPr>
                </pic:pic>
              </a:graphicData>
            </a:graphic>
          </wp:inline>
        </w:drawing>
      </w:r>
    </w:p>
    <w:p w:rsidR="00623B28" w:rsidRPr="00707839" w:rsidRDefault="00623B28" w:rsidP="00AB3F36">
      <w:pPr>
        <w:tabs>
          <w:tab w:val="left" w:pos="284"/>
        </w:tabs>
        <w:jc w:val="center"/>
        <w:rPr>
          <w:rFonts w:ascii="Calibri" w:hAnsi="Calibri"/>
          <w:sz w:val="20"/>
          <w:szCs w:val="20"/>
        </w:rPr>
      </w:pPr>
    </w:p>
    <w:p w:rsidR="00623B28" w:rsidRPr="00707839" w:rsidRDefault="00623B28" w:rsidP="00A47351">
      <w:pPr>
        <w:tabs>
          <w:tab w:val="left" w:pos="284"/>
        </w:tabs>
        <w:jc w:val="both"/>
        <w:rPr>
          <w:rFonts w:ascii="Calibri" w:hAnsi="Calibri"/>
          <w:sz w:val="20"/>
          <w:szCs w:val="20"/>
        </w:rPr>
      </w:pPr>
    </w:p>
    <w:p w:rsidR="00A47351" w:rsidRPr="00707839" w:rsidRDefault="00A47351" w:rsidP="00A47351">
      <w:pPr>
        <w:pStyle w:val="Prrafodelista"/>
        <w:tabs>
          <w:tab w:val="left" w:pos="284"/>
        </w:tabs>
        <w:ind w:left="0"/>
        <w:jc w:val="both"/>
        <w:rPr>
          <w:rFonts w:ascii="Calibri" w:hAnsi="Calibri"/>
          <w:sz w:val="20"/>
          <w:szCs w:val="20"/>
        </w:rPr>
      </w:pPr>
      <w:r w:rsidRPr="00707839">
        <w:rPr>
          <w:rFonts w:ascii="Calibri" w:hAnsi="Calibri"/>
          <w:b/>
          <w:sz w:val="20"/>
          <w:szCs w:val="20"/>
        </w:rPr>
        <w:t>3.1.3.2</w:t>
      </w:r>
      <w:r w:rsidRPr="00707839">
        <w:rPr>
          <w:rFonts w:ascii="Calibri" w:hAnsi="Calibri"/>
          <w:sz w:val="20"/>
          <w:szCs w:val="20"/>
        </w:rPr>
        <w:t xml:space="preserve"> La cuenta de rectificaciones de resultados de ejercicios anteriores por cambios por errores contables, que forma parte del patrimonio generado, acumula las comprobaciones de proveedores y diferencias en la determinación de los Impuestos Sobre la Renta por Salarios y Asimilables a Salarios para efectos de una mejor presentación de la información, de acuerdo a las sugerencias efectuadas por la Auditoría Externa realizada por el Despacho MVR, Servicios Corporativos S.C., registro de comisiones bancarias y comprobaciones de gastos, realizando las afectaciones </w:t>
      </w:r>
      <w:r w:rsidRPr="00707839">
        <w:rPr>
          <w:rFonts w:ascii="Calibri" w:hAnsi="Calibri" w:cs="Arial"/>
          <w:bCs/>
          <w:sz w:val="20"/>
          <w:szCs w:val="20"/>
        </w:rPr>
        <w:t xml:space="preserve">posteriores al cierre de los ejercicios fiscales </w:t>
      </w:r>
      <w:r w:rsidRPr="00707839">
        <w:rPr>
          <w:rFonts w:ascii="Calibri" w:hAnsi="Calibri"/>
          <w:sz w:val="20"/>
          <w:szCs w:val="20"/>
        </w:rPr>
        <w:t>2009, 2010, 2011, 2013, 2014, 2015, 2016, 2017 y 2018, y que se integran de la siguiente manera:</w:t>
      </w:r>
    </w:p>
    <w:p w:rsidR="0072004F" w:rsidRPr="00707839" w:rsidRDefault="0072004F" w:rsidP="00A47351">
      <w:pPr>
        <w:pStyle w:val="Prrafodelista"/>
        <w:tabs>
          <w:tab w:val="left" w:pos="284"/>
        </w:tabs>
        <w:ind w:left="0"/>
        <w:jc w:val="both"/>
        <w:rPr>
          <w:rFonts w:ascii="Calibri" w:hAnsi="Calibri"/>
          <w:sz w:val="20"/>
          <w:szCs w:val="20"/>
        </w:rPr>
      </w:pPr>
    </w:p>
    <w:p w:rsidR="0072004F" w:rsidRPr="00707839" w:rsidRDefault="0072004F" w:rsidP="0072004F">
      <w:pPr>
        <w:pStyle w:val="Prrafodelista"/>
        <w:tabs>
          <w:tab w:val="left" w:pos="284"/>
        </w:tabs>
        <w:ind w:left="0"/>
        <w:jc w:val="center"/>
        <w:rPr>
          <w:rFonts w:ascii="Calibri" w:hAnsi="Calibri" w:cs="Arial"/>
          <w:bCs/>
          <w:sz w:val="20"/>
          <w:szCs w:val="20"/>
        </w:rPr>
      </w:pPr>
    </w:p>
    <w:p w:rsidR="002F7598" w:rsidRPr="00707839" w:rsidRDefault="00EF0E7F" w:rsidP="00EC4253">
      <w:pPr>
        <w:pStyle w:val="Prrafodelista"/>
        <w:tabs>
          <w:tab w:val="left" w:pos="426"/>
        </w:tabs>
        <w:ind w:left="0"/>
        <w:jc w:val="center"/>
        <w:rPr>
          <w:rFonts w:ascii="Calibri" w:hAnsi="Calibri" w:cs="Arial"/>
          <w:bCs/>
          <w:sz w:val="20"/>
          <w:szCs w:val="20"/>
        </w:rPr>
      </w:pPr>
      <w:r w:rsidRPr="00707839">
        <w:rPr>
          <w:noProof/>
          <w:lang w:eastAsia="es-MX"/>
        </w:rPr>
        <w:drawing>
          <wp:inline distT="0" distB="0" distL="0" distR="0">
            <wp:extent cx="3648706" cy="2182399"/>
            <wp:effectExtent l="0" t="0" r="0" b="889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666464" cy="2193021"/>
                    </a:xfrm>
                    <a:prstGeom prst="rect">
                      <a:avLst/>
                    </a:prstGeom>
                    <a:noFill/>
                    <a:ln>
                      <a:noFill/>
                    </a:ln>
                  </pic:spPr>
                </pic:pic>
              </a:graphicData>
            </a:graphic>
          </wp:inline>
        </w:drawing>
      </w:r>
    </w:p>
    <w:p w:rsidR="00AB3F36" w:rsidRPr="00707839" w:rsidRDefault="00AB3F36" w:rsidP="00A47351">
      <w:pPr>
        <w:pStyle w:val="Prrafodelista"/>
        <w:tabs>
          <w:tab w:val="left" w:pos="426"/>
        </w:tabs>
        <w:ind w:left="0"/>
        <w:rPr>
          <w:rFonts w:ascii="Calibri" w:hAnsi="Calibri" w:cs="Arial"/>
          <w:bCs/>
          <w:sz w:val="20"/>
          <w:szCs w:val="20"/>
        </w:rPr>
      </w:pPr>
    </w:p>
    <w:p w:rsidR="00DD7FA8" w:rsidRPr="00707839" w:rsidRDefault="00A47351" w:rsidP="00A47351">
      <w:pPr>
        <w:pStyle w:val="Prrafodelista"/>
        <w:tabs>
          <w:tab w:val="left" w:pos="284"/>
        </w:tabs>
        <w:ind w:left="0"/>
        <w:jc w:val="both"/>
        <w:rPr>
          <w:rFonts w:ascii="Calibri" w:hAnsi="Calibri"/>
          <w:sz w:val="20"/>
          <w:szCs w:val="20"/>
        </w:rPr>
      </w:pPr>
      <w:r w:rsidRPr="00707839">
        <w:rPr>
          <w:rFonts w:ascii="Calibri" w:hAnsi="Calibri"/>
          <w:b/>
          <w:sz w:val="20"/>
          <w:szCs w:val="20"/>
        </w:rPr>
        <w:lastRenderedPageBreak/>
        <w:t>3.1.4</w:t>
      </w:r>
      <w:r w:rsidRPr="00707839">
        <w:rPr>
          <w:rFonts w:ascii="Calibri" w:hAnsi="Calibri"/>
          <w:sz w:val="20"/>
          <w:szCs w:val="20"/>
        </w:rPr>
        <w:t xml:space="preserve"> El resultado del ejercicio por el período del 1</w:t>
      </w:r>
      <w:r w:rsidR="00EF0E7F" w:rsidRPr="00707839">
        <w:rPr>
          <w:rFonts w:ascii="Calibri" w:hAnsi="Calibri"/>
          <w:sz w:val="20"/>
          <w:szCs w:val="20"/>
        </w:rPr>
        <w:t xml:space="preserve"> de e</w:t>
      </w:r>
      <w:r w:rsidR="00C137D2" w:rsidRPr="00707839">
        <w:rPr>
          <w:rFonts w:ascii="Calibri" w:hAnsi="Calibri"/>
          <w:sz w:val="20"/>
          <w:szCs w:val="20"/>
        </w:rPr>
        <w:t xml:space="preserve">nero al </w:t>
      </w:r>
      <w:r w:rsidR="00EF0E7F" w:rsidRPr="00707839">
        <w:rPr>
          <w:rFonts w:ascii="Calibri" w:hAnsi="Calibri"/>
          <w:sz w:val="20"/>
          <w:szCs w:val="20"/>
        </w:rPr>
        <w:t>3</w:t>
      </w:r>
      <w:r w:rsidR="001A2FAC" w:rsidRPr="00707839">
        <w:rPr>
          <w:rFonts w:ascii="Calibri" w:hAnsi="Calibri"/>
          <w:sz w:val="20"/>
          <w:szCs w:val="20"/>
        </w:rPr>
        <w:t>1</w:t>
      </w:r>
      <w:r w:rsidR="00C137D2" w:rsidRPr="00707839">
        <w:rPr>
          <w:rFonts w:ascii="Calibri" w:hAnsi="Calibri"/>
          <w:sz w:val="20"/>
          <w:szCs w:val="20"/>
        </w:rPr>
        <w:t xml:space="preserve"> de </w:t>
      </w:r>
      <w:r w:rsidR="001A2FAC" w:rsidRPr="00707839">
        <w:rPr>
          <w:rFonts w:ascii="Calibri" w:hAnsi="Calibri"/>
          <w:sz w:val="20"/>
          <w:szCs w:val="20"/>
        </w:rPr>
        <w:t>mayo</w:t>
      </w:r>
      <w:r w:rsidR="00DD4B8B" w:rsidRPr="00707839">
        <w:rPr>
          <w:rFonts w:ascii="Calibri" w:hAnsi="Calibri"/>
          <w:sz w:val="20"/>
          <w:szCs w:val="20"/>
        </w:rPr>
        <w:t xml:space="preserve"> </w:t>
      </w:r>
      <w:r w:rsidRPr="00707839">
        <w:rPr>
          <w:rFonts w:ascii="Calibri" w:hAnsi="Calibri"/>
          <w:sz w:val="20"/>
          <w:szCs w:val="20"/>
        </w:rPr>
        <w:t>202</w:t>
      </w:r>
      <w:r w:rsidR="001B2940" w:rsidRPr="00707839">
        <w:rPr>
          <w:rFonts w:ascii="Calibri" w:hAnsi="Calibri"/>
          <w:sz w:val="20"/>
          <w:szCs w:val="20"/>
        </w:rPr>
        <w:t>2</w:t>
      </w:r>
      <w:r w:rsidRPr="00707839">
        <w:rPr>
          <w:rFonts w:ascii="Calibri" w:hAnsi="Calibri"/>
          <w:sz w:val="20"/>
          <w:szCs w:val="20"/>
        </w:rPr>
        <w:t>, asciende a la cantidad de</w:t>
      </w:r>
      <w:r w:rsidR="001B2940" w:rsidRPr="00707839">
        <w:rPr>
          <w:rFonts w:ascii="Calibri" w:hAnsi="Calibri"/>
          <w:sz w:val="20"/>
          <w:szCs w:val="20"/>
        </w:rPr>
        <w:t xml:space="preserve"> </w:t>
      </w:r>
      <w:r w:rsidR="004238C9" w:rsidRPr="00707839">
        <w:rPr>
          <w:rFonts w:ascii="Calibri" w:hAnsi="Calibri"/>
          <w:sz w:val="20"/>
          <w:szCs w:val="20"/>
        </w:rPr>
        <w:t>3</w:t>
      </w:r>
      <w:proofErr w:type="gramStart"/>
      <w:r w:rsidR="004238C9" w:rsidRPr="00707839">
        <w:rPr>
          <w:rFonts w:ascii="Calibri" w:hAnsi="Calibri"/>
          <w:sz w:val="20"/>
          <w:szCs w:val="20"/>
        </w:rPr>
        <w:t>,472,546.05</w:t>
      </w:r>
      <w:proofErr w:type="gramEnd"/>
      <w:r w:rsidR="00116597" w:rsidRPr="00707839">
        <w:rPr>
          <w:rFonts w:ascii="Calibri" w:hAnsi="Calibri"/>
          <w:sz w:val="20"/>
          <w:szCs w:val="20"/>
        </w:rPr>
        <w:t xml:space="preserve">. </w:t>
      </w:r>
      <w:r w:rsidRPr="00707839">
        <w:rPr>
          <w:rFonts w:ascii="Calibri" w:hAnsi="Calibri"/>
          <w:sz w:val="20"/>
          <w:szCs w:val="20"/>
        </w:rPr>
        <w:t>La determinación de este importe, se detalla en el Estado de Actividades, que proviene de la diferencia entre los ingresos menos los egresos registrados en el período mencionado.</w:t>
      </w:r>
    </w:p>
    <w:p w:rsidR="00DD7FA8" w:rsidRPr="00707839" w:rsidRDefault="00DD7FA8">
      <w:pPr>
        <w:rPr>
          <w:rFonts w:ascii="Calibri" w:hAnsi="Calibri"/>
          <w:sz w:val="20"/>
          <w:szCs w:val="20"/>
        </w:rPr>
      </w:pPr>
      <w:r w:rsidRPr="00707839">
        <w:rPr>
          <w:rFonts w:ascii="Calibri" w:hAnsi="Calibri"/>
          <w:sz w:val="20"/>
          <w:szCs w:val="20"/>
        </w:rPr>
        <w:br w:type="page"/>
      </w:r>
    </w:p>
    <w:p w:rsidR="00A47351" w:rsidRPr="00707839" w:rsidRDefault="00A47351" w:rsidP="00A47351">
      <w:pPr>
        <w:pStyle w:val="Prrafodelista"/>
        <w:numPr>
          <w:ilvl w:val="0"/>
          <w:numId w:val="30"/>
        </w:numPr>
        <w:tabs>
          <w:tab w:val="left" w:pos="426"/>
        </w:tabs>
        <w:rPr>
          <w:rFonts w:ascii="Calibri" w:hAnsi="Calibri"/>
          <w:b/>
          <w:sz w:val="20"/>
          <w:szCs w:val="20"/>
        </w:rPr>
      </w:pPr>
      <w:r w:rsidRPr="00707839">
        <w:rPr>
          <w:rFonts w:ascii="Calibri" w:hAnsi="Calibri"/>
          <w:b/>
          <w:sz w:val="20"/>
          <w:szCs w:val="20"/>
        </w:rPr>
        <w:lastRenderedPageBreak/>
        <w:t>NOTAS AL ESTADO DE FLUJO DE EFECTIVO.</w:t>
      </w:r>
    </w:p>
    <w:p w:rsidR="00A47351" w:rsidRPr="00707839" w:rsidRDefault="00A47351" w:rsidP="00A47351">
      <w:pPr>
        <w:tabs>
          <w:tab w:val="left" w:pos="426"/>
        </w:tabs>
        <w:rPr>
          <w:rFonts w:ascii="Calibri" w:hAnsi="Calibri"/>
          <w:b/>
          <w:sz w:val="20"/>
          <w:szCs w:val="20"/>
        </w:rPr>
      </w:pPr>
    </w:p>
    <w:p w:rsidR="00A47351" w:rsidRPr="00707839" w:rsidRDefault="00A47351" w:rsidP="00A47351">
      <w:pPr>
        <w:pStyle w:val="Prrafodelista"/>
        <w:numPr>
          <w:ilvl w:val="1"/>
          <w:numId w:val="30"/>
        </w:numPr>
        <w:tabs>
          <w:tab w:val="left" w:pos="426"/>
        </w:tabs>
        <w:rPr>
          <w:rFonts w:ascii="Calibri" w:hAnsi="Calibri"/>
          <w:b/>
          <w:sz w:val="20"/>
          <w:szCs w:val="20"/>
        </w:rPr>
      </w:pPr>
      <w:r w:rsidRPr="00707839">
        <w:rPr>
          <w:rFonts w:ascii="Calibri" w:hAnsi="Calibri"/>
          <w:b/>
          <w:sz w:val="20"/>
          <w:szCs w:val="20"/>
        </w:rPr>
        <w:t>Efectivo y equivalente.</w:t>
      </w:r>
    </w:p>
    <w:p w:rsidR="00A47351" w:rsidRPr="00707839" w:rsidRDefault="00A47351" w:rsidP="00A47351">
      <w:pPr>
        <w:pStyle w:val="Prrafodelista"/>
        <w:tabs>
          <w:tab w:val="left" w:pos="426"/>
        </w:tabs>
        <w:ind w:left="0"/>
        <w:rPr>
          <w:rFonts w:ascii="Calibri" w:hAnsi="Calibri"/>
          <w:b/>
          <w:sz w:val="20"/>
          <w:szCs w:val="20"/>
        </w:rPr>
      </w:pPr>
    </w:p>
    <w:p w:rsidR="00A47351" w:rsidRPr="00707839" w:rsidRDefault="00A47351" w:rsidP="00A47351">
      <w:pPr>
        <w:pStyle w:val="Prrafodelista"/>
        <w:tabs>
          <w:tab w:val="left" w:pos="284"/>
        </w:tabs>
        <w:ind w:left="0"/>
        <w:jc w:val="both"/>
        <w:rPr>
          <w:rFonts w:ascii="Calibri" w:hAnsi="Calibri"/>
          <w:sz w:val="20"/>
          <w:szCs w:val="20"/>
        </w:rPr>
      </w:pPr>
      <w:r w:rsidRPr="00707839">
        <w:rPr>
          <w:rFonts w:ascii="Calibri" w:hAnsi="Calibri"/>
          <w:sz w:val="20"/>
          <w:szCs w:val="20"/>
        </w:rPr>
        <w:t>El análisis de los saldos inicial y final que figuran en la última parte del Estado de Flujo de Efectivo en la cuenta de efectivo y equivalentes está integrado de la siguiente manera:</w:t>
      </w:r>
    </w:p>
    <w:p w:rsidR="00AB3F36" w:rsidRPr="00707839" w:rsidRDefault="00AB3F36" w:rsidP="00AB3F36">
      <w:pPr>
        <w:jc w:val="center"/>
        <w:rPr>
          <w:rFonts w:ascii="Calibri" w:hAnsi="Calibri"/>
          <w:sz w:val="20"/>
          <w:szCs w:val="20"/>
        </w:rPr>
      </w:pPr>
    </w:p>
    <w:p w:rsidR="00AB3F36" w:rsidRPr="00707839" w:rsidRDefault="00AB3F36" w:rsidP="00964F63">
      <w:pPr>
        <w:jc w:val="center"/>
        <w:rPr>
          <w:noProof/>
          <w:lang w:eastAsia="es-MX"/>
        </w:rPr>
      </w:pPr>
    </w:p>
    <w:p w:rsidR="00EC4253" w:rsidRPr="00707839" w:rsidRDefault="00EC4253" w:rsidP="00A47351">
      <w:pPr>
        <w:jc w:val="both"/>
        <w:rPr>
          <w:rFonts w:ascii="Calibri" w:hAnsi="Calibri"/>
          <w:sz w:val="20"/>
          <w:szCs w:val="20"/>
        </w:rPr>
      </w:pPr>
    </w:p>
    <w:p w:rsidR="00C243D7" w:rsidRPr="00707839" w:rsidRDefault="004238C9" w:rsidP="004238C9">
      <w:pPr>
        <w:jc w:val="center"/>
        <w:rPr>
          <w:rFonts w:ascii="Calibri" w:hAnsi="Calibri"/>
          <w:sz w:val="20"/>
          <w:szCs w:val="20"/>
        </w:rPr>
      </w:pPr>
      <w:r w:rsidRPr="00707839">
        <w:rPr>
          <w:noProof/>
          <w:lang w:eastAsia="es-MX"/>
        </w:rPr>
        <w:drawing>
          <wp:inline distT="0" distB="0" distL="0" distR="0">
            <wp:extent cx="5781675" cy="1847850"/>
            <wp:effectExtent l="0" t="0" r="9525"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81675" cy="1847850"/>
                    </a:xfrm>
                    <a:prstGeom prst="rect">
                      <a:avLst/>
                    </a:prstGeom>
                    <a:noFill/>
                    <a:ln>
                      <a:noFill/>
                    </a:ln>
                  </pic:spPr>
                </pic:pic>
              </a:graphicData>
            </a:graphic>
          </wp:inline>
        </w:drawing>
      </w:r>
    </w:p>
    <w:p w:rsidR="00C243D7" w:rsidRPr="00707839" w:rsidRDefault="00C243D7" w:rsidP="00A47351">
      <w:pPr>
        <w:jc w:val="both"/>
        <w:rPr>
          <w:rFonts w:ascii="Calibri" w:hAnsi="Calibri"/>
          <w:sz w:val="20"/>
          <w:szCs w:val="20"/>
        </w:rPr>
      </w:pPr>
    </w:p>
    <w:p w:rsidR="00DD7FA8" w:rsidRPr="00707839" w:rsidRDefault="00DD7FA8" w:rsidP="00A47351">
      <w:pPr>
        <w:tabs>
          <w:tab w:val="left" w:pos="426"/>
        </w:tabs>
        <w:jc w:val="both"/>
        <w:rPr>
          <w:rFonts w:ascii="Calibri" w:hAnsi="Calibri"/>
          <w:sz w:val="20"/>
          <w:szCs w:val="20"/>
        </w:rPr>
      </w:pPr>
    </w:p>
    <w:p w:rsidR="00A47351" w:rsidRPr="00707839" w:rsidRDefault="00CC7B18" w:rsidP="00A47351">
      <w:pPr>
        <w:tabs>
          <w:tab w:val="left" w:pos="426"/>
        </w:tabs>
        <w:jc w:val="both"/>
        <w:rPr>
          <w:rFonts w:ascii="Calibri" w:hAnsi="Calibri"/>
          <w:sz w:val="20"/>
          <w:szCs w:val="20"/>
        </w:rPr>
      </w:pPr>
      <w:r w:rsidRPr="00707839">
        <w:rPr>
          <w:rFonts w:ascii="Calibri" w:hAnsi="Calibri"/>
          <w:sz w:val="20"/>
          <w:szCs w:val="20"/>
        </w:rPr>
        <w:t>Conciliación del Flujo de Efectivo Neto de la Actividades de Operación y los saldos de Resultados del Ejercicio (Ahorro / Desahorro):</w:t>
      </w:r>
    </w:p>
    <w:p w:rsidR="009D522C" w:rsidRPr="00707839" w:rsidRDefault="009D522C" w:rsidP="009D522C">
      <w:pPr>
        <w:tabs>
          <w:tab w:val="left" w:pos="426"/>
        </w:tabs>
        <w:jc w:val="center"/>
        <w:rPr>
          <w:rFonts w:ascii="Calibri" w:hAnsi="Calibri"/>
          <w:sz w:val="20"/>
          <w:szCs w:val="20"/>
        </w:rPr>
      </w:pPr>
    </w:p>
    <w:p w:rsidR="009D522C" w:rsidRPr="00707839" w:rsidRDefault="004238C9" w:rsidP="0088659F">
      <w:pPr>
        <w:tabs>
          <w:tab w:val="left" w:pos="426"/>
        </w:tabs>
        <w:jc w:val="center"/>
        <w:rPr>
          <w:rFonts w:ascii="Calibri" w:hAnsi="Calibri"/>
          <w:sz w:val="20"/>
          <w:szCs w:val="20"/>
        </w:rPr>
      </w:pPr>
      <w:r w:rsidRPr="00707839">
        <w:rPr>
          <w:noProof/>
          <w:lang w:eastAsia="es-MX"/>
        </w:rPr>
        <w:lastRenderedPageBreak/>
        <w:drawing>
          <wp:inline distT="0" distB="0" distL="0" distR="0">
            <wp:extent cx="5781675" cy="2200275"/>
            <wp:effectExtent l="0" t="0" r="9525" b="952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81675" cy="2200275"/>
                    </a:xfrm>
                    <a:prstGeom prst="rect">
                      <a:avLst/>
                    </a:prstGeom>
                    <a:noFill/>
                    <a:ln>
                      <a:noFill/>
                    </a:ln>
                  </pic:spPr>
                </pic:pic>
              </a:graphicData>
            </a:graphic>
          </wp:inline>
        </w:drawing>
      </w:r>
    </w:p>
    <w:p w:rsidR="00CC7B18" w:rsidRPr="00707839" w:rsidRDefault="00CC7B18" w:rsidP="00A47351">
      <w:pPr>
        <w:tabs>
          <w:tab w:val="left" w:pos="426"/>
        </w:tabs>
        <w:jc w:val="both"/>
        <w:rPr>
          <w:rFonts w:ascii="Calibri" w:hAnsi="Calibri"/>
          <w:sz w:val="20"/>
          <w:szCs w:val="20"/>
        </w:rPr>
      </w:pPr>
    </w:p>
    <w:p w:rsidR="00DD7FA8" w:rsidRPr="00707839" w:rsidRDefault="00DD7FA8" w:rsidP="00A47351">
      <w:pPr>
        <w:tabs>
          <w:tab w:val="left" w:pos="426"/>
        </w:tabs>
        <w:jc w:val="both"/>
        <w:rPr>
          <w:rFonts w:ascii="Calibri" w:hAnsi="Calibri"/>
          <w:sz w:val="20"/>
          <w:szCs w:val="20"/>
        </w:rPr>
      </w:pPr>
    </w:p>
    <w:p w:rsidR="00DD7FA8" w:rsidRPr="00707839" w:rsidRDefault="00DD7FA8" w:rsidP="00A47351">
      <w:pPr>
        <w:tabs>
          <w:tab w:val="left" w:pos="426"/>
        </w:tabs>
        <w:jc w:val="both"/>
        <w:rPr>
          <w:rFonts w:ascii="Calibri" w:hAnsi="Calibri"/>
          <w:sz w:val="20"/>
          <w:szCs w:val="20"/>
        </w:rPr>
      </w:pPr>
    </w:p>
    <w:p w:rsidR="00DD7FA8" w:rsidRPr="00707839" w:rsidRDefault="00DD7FA8" w:rsidP="00A47351">
      <w:pPr>
        <w:tabs>
          <w:tab w:val="left" w:pos="426"/>
        </w:tabs>
        <w:jc w:val="both"/>
        <w:rPr>
          <w:rFonts w:ascii="Calibri" w:hAnsi="Calibri"/>
          <w:sz w:val="20"/>
          <w:szCs w:val="20"/>
        </w:rPr>
      </w:pPr>
    </w:p>
    <w:p w:rsidR="00DD7FA8" w:rsidRPr="00707839" w:rsidRDefault="00DD7FA8" w:rsidP="00DD7FA8">
      <w:pPr>
        <w:pStyle w:val="Prrafodelista"/>
        <w:numPr>
          <w:ilvl w:val="0"/>
          <w:numId w:val="30"/>
        </w:numPr>
        <w:tabs>
          <w:tab w:val="left" w:pos="0"/>
          <w:tab w:val="left" w:pos="426"/>
        </w:tabs>
        <w:ind w:left="0" w:firstLine="0"/>
        <w:rPr>
          <w:rFonts w:ascii="Calibri" w:hAnsi="Calibri"/>
          <w:b/>
          <w:sz w:val="20"/>
          <w:szCs w:val="20"/>
        </w:rPr>
      </w:pPr>
      <w:r w:rsidRPr="00707839">
        <w:rPr>
          <w:rFonts w:ascii="Calibri" w:hAnsi="Calibri"/>
          <w:b/>
          <w:sz w:val="20"/>
          <w:szCs w:val="20"/>
        </w:rPr>
        <w:t>CONCILIACIÓN ENTRE LOS INGRESOS PRESUPUESTARIOS Y CONTABLES, ASÍ COMO ENTRE LOS EGRESOS PRESUPUESTARIOS Y LOS GASTOS CONTABLES.</w:t>
      </w:r>
    </w:p>
    <w:p w:rsidR="00DD7FA8" w:rsidRPr="00707839" w:rsidRDefault="00DD7FA8" w:rsidP="00DD7FA8">
      <w:pPr>
        <w:tabs>
          <w:tab w:val="left" w:pos="426"/>
        </w:tabs>
        <w:rPr>
          <w:rFonts w:ascii="Calibri" w:hAnsi="Calibri"/>
          <w:b/>
          <w:sz w:val="20"/>
          <w:szCs w:val="20"/>
        </w:rPr>
      </w:pPr>
    </w:p>
    <w:p w:rsidR="00DD7FA8" w:rsidRPr="00707839" w:rsidRDefault="00DD7FA8" w:rsidP="00DD7FA8">
      <w:pPr>
        <w:tabs>
          <w:tab w:val="left" w:pos="426"/>
        </w:tabs>
        <w:rPr>
          <w:rFonts w:ascii="Calibri" w:hAnsi="Calibri"/>
          <w:b/>
          <w:sz w:val="20"/>
          <w:szCs w:val="20"/>
        </w:rPr>
      </w:pPr>
    </w:p>
    <w:p w:rsidR="00DD7FA8" w:rsidRPr="00707839" w:rsidRDefault="00DD7FA8" w:rsidP="00DD7FA8">
      <w:pPr>
        <w:tabs>
          <w:tab w:val="left" w:pos="426"/>
        </w:tabs>
        <w:jc w:val="both"/>
        <w:rPr>
          <w:rFonts w:ascii="Calibri" w:hAnsi="Calibri"/>
          <w:sz w:val="20"/>
          <w:szCs w:val="20"/>
        </w:rPr>
      </w:pPr>
      <w:r w:rsidRPr="00707839">
        <w:rPr>
          <w:rFonts w:ascii="Calibri" w:hAnsi="Calibri"/>
          <w:sz w:val="20"/>
          <w:szCs w:val="20"/>
        </w:rPr>
        <w:t>La conciliación se presenta, atendiendo a lo dispuesto por el acuerdo por el que se emite el formato de conciliación entre los ingresos presupuestarios y contables, así como entre los egresos presupuestarios y los gastos contables.</w:t>
      </w:r>
    </w:p>
    <w:p w:rsidR="00DD7FA8" w:rsidRPr="00707839" w:rsidRDefault="00DD7FA8" w:rsidP="00DD7FA8">
      <w:pPr>
        <w:tabs>
          <w:tab w:val="left" w:pos="426"/>
        </w:tabs>
        <w:jc w:val="both"/>
        <w:rPr>
          <w:rFonts w:ascii="Calibri" w:hAnsi="Calibri"/>
          <w:sz w:val="20"/>
          <w:szCs w:val="20"/>
        </w:rPr>
      </w:pPr>
    </w:p>
    <w:p w:rsidR="00DD7FA8" w:rsidRPr="00707839" w:rsidRDefault="00DD7FA8" w:rsidP="00A47351">
      <w:pPr>
        <w:tabs>
          <w:tab w:val="left" w:pos="426"/>
        </w:tabs>
        <w:jc w:val="both"/>
        <w:rPr>
          <w:rFonts w:ascii="Calibri" w:hAnsi="Calibri"/>
          <w:sz w:val="20"/>
          <w:szCs w:val="20"/>
        </w:rPr>
      </w:pPr>
    </w:p>
    <w:p w:rsidR="00127CAD" w:rsidRPr="00707839" w:rsidRDefault="00DD7FA8" w:rsidP="00DD7FA8">
      <w:pPr>
        <w:tabs>
          <w:tab w:val="left" w:pos="7282"/>
        </w:tabs>
        <w:jc w:val="center"/>
        <w:rPr>
          <w:noProof/>
          <w:lang w:eastAsia="es-MX"/>
        </w:rPr>
      </w:pPr>
      <w:r w:rsidRPr="00707839">
        <w:rPr>
          <w:noProof/>
          <w:lang w:eastAsia="es-MX"/>
        </w:rPr>
        <w:lastRenderedPageBreak/>
        <w:drawing>
          <wp:inline distT="0" distB="0" distL="0" distR="0">
            <wp:extent cx="5514975" cy="4114800"/>
            <wp:effectExtent l="0" t="0" r="9525"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514975" cy="4114800"/>
                    </a:xfrm>
                    <a:prstGeom prst="rect">
                      <a:avLst/>
                    </a:prstGeom>
                    <a:noFill/>
                    <a:ln>
                      <a:noFill/>
                    </a:ln>
                  </pic:spPr>
                </pic:pic>
              </a:graphicData>
            </a:graphic>
          </wp:inline>
        </w:drawing>
      </w:r>
    </w:p>
    <w:p w:rsidR="00127CAD" w:rsidRPr="00707839" w:rsidRDefault="004238C9" w:rsidP="00F930A2">
      <w:pPr>
        <w:tabs>
          <w:tab w:val="left" w:pos="7282"/>
        </w:tabs>
        <w:jc w:val="center"/>
        <w:rPr>
          <w:noProof/>
          <w:lang w:eastAsia="es-MX"/>
        </w:rPr>
      </w:pPr>
      <w:r w:rsidRPr="00707839">
        <w:rPr>
          <w:noProof/>
          <w:lang w:eastAsia="es-MX"/>
        </w:rPr>
        <w:lastRenderedPageBreak/>
        <w:drawing>
          <wp:inline distT="0" distB="0" distL="0" distR="0">
            <wp:extent cx="5514975" cy="6086475"/>
            <wp:effectExtent l="0" t="0" r="9525" b="952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514975" cy="6086475"/>
                    </a:xfrm>
                    <a:prstGeom prst="rect">
                      <a:avLst/>
                    </a:prstGeom>
                    <a:noFill/>
                    <a:ln>
                      <a:noFill/>
                    </a:ln>
                  </pic:spPr>
                </pic:pic>
              </a:graphicData>
            </a:graphic>
          </wp:inline>
        </w:drawing>
      </w:r>
    </w:p>
    <w:p w:rsidR="00127CAD" w:rsidRPr="00707839" w:rsidRDefault="00127CAD" w:rsidP="00F930A2">
      <w:pPr>
        <w:tabs>
          <w:tab w:val="left" w:pos="7282"/>
        </w:tabs>
        <w:jc w:val="center"/>
        <w:rPr>
          <w:noProof/>
          <w:lang w:eastAsia="es-MX"/>
        </w:rPr>
      </w:pPr>
    </w:p>
    <w:p w:rsidR="00127CAD" w:rsidRPr="00707839" w:rsidRDefault="00127CAD" w:rsidP="00F930A2">
      <w:pPr>
        <w:tabs>
          <w:tab w:val="left" w:pos="7282"/>
        </w:tabs>
        <w:jc w:val="center"/>
        <w:rPr>
          <w:noProof/>
          <w:lang w:eastAsia="es-MX"/>
        </w:rPr>
      </w:pPr>
    </w:p>
    <w:p w:rsidR="00127CAD" w:rsidRPr="00707839" w:rsidRDefault="004238C9" w:rsidP="00F930A2">
      <w:pPr>
        <w:tabs>
          <w:tab w:val="left" w:pos="7282"/>
        </w:tabs>
        <w:jc w:val="center"/>
        <w:rPr>
          <w:noProof/>
          <w:lang w:eastAsia="es-MX"/>
        </w:rPr>
      </w:pPr>
      <w:r w:rsidRPr="00707839">
        <w:rPr>
          <w:noProof/>
          <w:lang w:eastAsia="es-MX"/>
        </w:rPr>
        <w:drawing>
          <wp:inline distT="0" distB="0" distL="0" distR="0">
            <wp:extent cx="5514975" cy="2295525"/>
            <wp:effectExtent l="0" t="0" r="9525" b="9525"/>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514975" cy="2295525"/>
                    </a:xfrm>
                    <a:prstGeom prst="rect">
                      <a:avLst/>
                    </a:prstGeom>
                    <a:noFill/>
                    <a:ln>
                      <a:noFill/>
                    </a:ln>
                  </pic:spPr>
                </pic:pic>
              </a:graphicData>
            </a:graphic>
          </wp:inline>
        </w:drawing>
      </w:r>
    </w:p>
    <w:p w:rsidR="00127CAD" w:rsidRPr="00707839" w:rsidRDefault="00127CAD" w:rsidP="00F930A2">
      <w:pPr>
        <w:tabs>
          <w:tab w:val="left" w:pos="7282"/>
        </w:tabs>
        <w:jc w:val="center"/>
        <w:rPr>
          <w:noProof/>
          <w:lang w:eastAsia="es-MX"/>
        </w:rPr>
      </w:pPr>
    </w:p>
    <w:p w:rsidR="0088659F" w:rsidRPr="00707839" w:rsidRDefault="0088659F" w:rsidP="00F930A2">
      <w:pPr>
        <w:tabs>
          <w:tab w:val="left" w:pos="7282"/>
        </w:tabs>
        <w:jc w:val="center"/>
        <w:rPr>
          <w:noProof/>
          <w:lang w:eastAsia="es-MX"/>
        </w:rPr>
      </w:pPr>
    </w:p>
    <w:p w:rsidR="00A47351" w:rsidRPr="00707839" w:rsidRDefault="00A47351" w:rsidP="00A47351">
      <w:pPr>
        <w:pStyle w:val="Prrafodelista"/>
        <w:numPr>
          <w:ilvl w:val="0"/>
          <w:numId w:val="15"/>
        </w:numPr>
        <w:tabs>
          <w:tab w:val="left" w:pos="426"/>
        </w:tabs>
        <w:ind w:left="0" w:firstLine="0"/>
        <w:rPr>
          <w:rFonts w:ascii="Calibri" w:hAnsi="Calibri"/>
          <w:b/>
          <w:sz w:val="20"/>
          <w:szCs w:val="20"/>
        </w:rPr>
      </w:pPr>
      <w:r w:rsidRPr="00707839">
        <w:rPr>
          <w:rFonts w:ascii="Calibri" w:hAnsi="Calibri"/>
          <w:b/>
          <w:sz w:val="20"/>
          <w:szCs w:val="20"/>
        </w:rPr>
        <w:t>NOTAS DE MEMORIA.</w:t>
      </w:r>
    </w:p>
    <w:p w:rsidR="000A0DE1" w:rsidRPr="00707839" w:rsidRDefault="000A0DE1" w:rsidP="000A0DE1">
      <w:pPr>
        <w:jc w:val="both"/>
        <w:rPr>
          <w:rFonts w:ascii="Calibri" w:hAnsi="Calibri"/>
          <w:sz w:val="20"/>
          <w:szCs w:val="20"/>
        </w:rPr>
      </w:pPr>
    </w:p>
    <w:p w:rsidR="000A0DE1" w:rsidRPr="00707839" w:rsidRDefault="000A0DE1" w:rsidP="000A0DE1">
      <w:pPr>
        <w:jc w:val="both"/>
        <w:rPr>
          <w:rFonts w:ascii="Calibri" w:hAnsi="Calibri"/>
          <w:sz w:val="20"/>
          <w:szCs w:val="20"/>
        </w:rPr>
      </w:pPr>
      <w:r w:rsidRPr="00707839">
        <w:rPr>
          <w:rFonts w:ascii="Calibri" w:hAnsi="Calibri"/>
          <w:sz w:val="20"/>
          <w:szCs w:val="20"/>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0A0DE1" w:rsidRPr="00707839" w:rsidRDefault="000A0DE1" w:rsidP="000A0DE1">
      <w:pPr>
        <w:jc w:val="both"/>
        <w:rPr>
          <w:rFonts w:ascii="Calibri" w:hAnsi="Calibri"/>
          <w:sz w:val="20"/>
          <w:szCs w:val="20"/>
        </w:rPr>
      </w:pPr>
    </w:p>
    <w:p w:rsidR="000A0DE1" w:rsidRPr="00707839" w:rsidRDefault="000A0DE1" w:rsidP="000A0DE1">
      <w:pPr>
        <w:jc w:val="both"/>
        <w:rPr>
          <w:rFonts w:ascii="Calibri" w:hAnsi="Calibri"/>
          <w:sz w:val="20"/>
          <w:szCs w:val="20"/>
        </w:rPr>
      </w:pPr>
      <w:r w:rsidRPr="00707839">
        <w:rPr>
          <w:rFonts w:ascii="Calibri" w:hAnsi="Calibri"/>
          <w:sz w:val="20"/>
          <w:szCs w:val="20"/>
        </w:rPr>
        <w:t>Las cuentas que se manejan para efectos de estas Notas son las siguientes:</w:t>
      </w:r>
    </w:p>
    <w:p w:rsidR="000A0DE1" w:rsidRPr="00707839" w:rsidRDefault="000A0DE1" w:rsidP="000A0DE1">
      <w:pPr>
        <w:jc w:val="both"/>
        <w:rPr>
          <w:rFonts w:ascii="Calibri" w:hAnsi="Calibri"/>
          <w:sz w:val="20"/>
          <w:szCs w:val="20"/>
        </w:rPr>
      </w:pPr>
    </w:p>
    <w:p w:rsidR="000A0DE1" w:rsidRPr="00707839" w:rsidRDefault="000A0DE1" w:rsidP="000A0DE1">
      <w:pPr>
        <w:jc w:val="both"/>
        <w:rPr>
          <w:rFonts w:ascii="Calibri" w:hAnsi="Calibri"/>
          <w:b/>
          <w:sz w:val="20"/>
          <w:szCs w:val="20"/>
        </w:rPr>
      </w:pPr>
      <w:r w:rsidRPr="00707839">
        <w:rPr>
          <w:rFonts w:ascii="Calibri" w:hAnsi="Calibri"/>
          <w:b/>
          <w:sz w:val="20"/>
          <w:szCs w:val="20"/>
        </w:rPr>
        <w:t>Cuentas de Orden Contables y Presupuestarias:</w:t>
      </w:r>
    </w:p>
    <w:p w:rsidR="000A0DE1" w:rsidRPr="00707839" w:rsidRDefault="000A0DE1" w:rsidP="000A0DE1">
      <w:pPr>
        <w:jc w:val="both"/>
        <w:rPr>
          <w:rFonts w:ascii="Calibri" w:hAnsi="Calibri"/>
          <w:sz w:val="20"/>
          <w:szCs w:val="20"/>
        </w:rPr>
      </w:pPr>
    </w:p>
    <w:p w:rsidR="000A0DE1" w:rsidRPr="00707839" w:rsidRDefault="000A0DE1" w:rsidP="000A0DE1">
      <w:pPr>
        <w:jc w:val="both"/>
        <w:rPr>
          <w:rFonts w:ascii="Calibri" w:hAnsi="Calibri"/>
          <w:i/>
          <w:sz w:val="20"/>
          <w:szCs w:val="20"/>
        </w:rPr>
      </w:pPr>
      <w:r w:rsidRPr="00707839">
        <w:rPr>
          <w:rFonts w:ascii="Calibri" w:hAnsi="Calibri"/>
          <w:i/>
          <w:sz w:val="20"/>
          <w:szCs w:val="20"/>
        </w:rPr>
        <w:t>Contables:</w:t>
      </w:r>
    </w:p>
    <w:p w:rsidR="000A0DE1" w:rsidRPr="00707839" w:rsidRDefault="000A0DE1" w:rsidP="000A0DE1">
      <w:pPr>
        <w:jc w:val="both"/>
        <w:rPr>
          <w:rFonts w:ascii="Calibri" w:hAnsi="Calibri"/>
          <w:sz w:val="20"/>
          <w:szCs w:val="20"/>
        </w:rPr>
      </w:pPr>
      <w:r w:rsidRPr="00707839">
        <w:rPr>
          <w:rFonts w:ascii="Calibri" w:hAnsi="Calibri"/>
          <w:sz w:val="20"/>
          <w:szCs w:val="20"/>
        </w:rPr>
        <w:t xml:space="preserve"> Valores</w:t>
      </w:r>
      <w:r w:rsidR="00EA2BBF" w:rsidRPr="00707839">
        <w:rPr>
          <w:rFonts w:ascii="Calibri" w:hAnsi="Calibri"/>
          <w:sz w:val="20"/>
          <w:szCs w:val="20"/>
        </w:rPr>
        <w:t xml:space="preserve">- No </w:t>
      </w:r>
      <w:proofErr w:type="gramStart"/>
      <w:r w:rsidR="00EA2BBF" w:rsidRPr="00707839">
        <w:rPr>
          <w:rFonts w:ascii="Calibri" w:hAnsi="Calibri"/>
          <w:sz w:val="20"/>
          <w:szCs w:val="20"/>
        </w:rPr>
        <w:t>aplica</w:t>
      </w:r>
      <w:proofErr w:type="gramEnd"/>
    </w:p>
    <w:p w:rsidR="000A0DE1" w:rsidRPr="00707839" w:rsidRDefault="000A0DE1" w:rsidP="000A0DE1">
      <w:pPr>
        <w:jc w:val="both"/>
        <w:rPr>
          <w:rFonts w:ascii="Calibri" w:hAnsi="Calibri"/>
          <w:sz w:val="20"/>
          <w:szCs w:val="20"/>
        </w:rPr>
      </w:pPr>
      <w:r w:rsidRPr="00707839">
        <w:rPr>
          <w:rFonts w:ascii="Calibri" w:hAnsi="Calibri"/>
          <w:sz w:val="20"/>
          <w:szCs w:val="20"/>
        </w:rPr>
        <w:t xml:space="preserve"> Emisión de obligaciones</w:t>
      </w:r>
      <w:r w:rsidR="00EA2BBF" w:rsidRPr="00707839">
        <w:rPr>
          <w:rFonts w:ascii="Calibri" w:hAnsi="Calibri"/>
          <w:sz w:val="20"/>
          <w:szCs w:val="20"/>
        </w:rPr>
        <w:t>- No aplica</w:t>
      </w:r>
    </w:p>
    <w:p w:rsidR="000A0DE1" w:rsidRPr="00707839" w:rsidRDefault="000A0DE1" w:rsidP="000A0DE1">
      <w:pPr>
        <w:jc w:val="both"/>
        <w:rPr>
          <w:rFonts w:ascii="Calibri" w:hAnsi="Calibri"/>
          <w:sz w:val="20"/>
          <w:szCs w:val="20"/>
        </w:rPr>
      </w:pPr>
      <w:r w:rsidRPr="00707839">
        <w:rPr>
          <w:rFonts w:ascii="Calibri" w:hAnsi="Calibri"/>
          <w:sz w:val="20"/>
          <w:szCs w:val="20"/>
        </w:rPr>
        <w:t xml:space="preserve"> Avales y garantías</w:t>
      </w:r>
      <w:r w:rsidR="00EA2BBF" w:rsidRPr="00707839">
        <w:rPr>
          <w:rFonts w:ascii="Calibri" w:hAnsi="Calibri"/>
          <w:sz w:val="20"/>
          <w:szCs w:val="20"/>
        </w:rPr>
        <w:t>- No aplica</w:t>
      </w:r>
    </w:p>
    <w:p w:rsidR="000A0DE1" w:rsidRPr="00707839" w:rsidRDefault="000A0DE1" w:rsidP="000A0DE1">
      <w:pPr>
        <w:jc w:val="both"/>
        <w:rPr>
          <w:rFonts w:ascii="Calibri" w:hAnsi="Calibri"/>
          <w:sz w:val="20"/>
          <w:szCs w:val="20"/>
        </w:rPr>
      </w:pPr>
      <w:r w:rsidRPr="00707839">
        <w:rPr>
          <w:rFonts w:ascii="Calibri" w:hAnsi="Calibri"/>
          <w:sz w:val="20"/>
          <w:szCs w:val="20"/>
        </w:rPr>
        <w:t xml:space="preserve"> Juicios</w:t>
      </w:r>
      <w:r w:rsidR="00EA2BBF" w:rsidRPr="00707839">
        <w:rPr>
          <w:rFonts w:ascii="Calibri" w:hAnsi="Calibri"/>
          <w:sz w:val="20"/>
          <w:szCs w:val="20"/>
        </w:rPr>
        <w:t>- No aplica</w:t>
      </w:r>
    </w:p>
    <w:p w:rsidR="000A0DE1" w:rsidRPr="00707839" w:rsidRDefault="000A0DE1" w:rsidP="000A0DE1">
      <w:pPr>
        <w:jc w:val="both"/>
        <w:rPr>
          <w:rFonts w:ascii="Calibri" w:hAnsi="Calibri"/>
          <w:sz w:val="20"/>
          <w:szCs w:val="20"/>
        </w:rPr>
      </w:pPr>
      <w:r w:rsidRPr="00707839">
        <w:rPr>
          <w:rFonts w:ascii="Calibri" w:hAnsi="Calibri"/>
          <w:sz w:val="20"/>
          <w:szCs w:val="20"/>
        </w:rPr>
        <w:t xml:space="preserve"> Contratos para Inversión Mediante Proyectos para Prestación de Servicios (PPS) y Similares</w:t>
      </w:r>
      <w:r w:rsidR="00EA2BBF" w:rsidRPr="00707839">
        <w:rPr>
          <w:rFonts w:ascii="Calibri" w:hAnsi="Calibri"/>
          <w:sz w:val="20"/>
          <w:szCs w:val="20"/>
        </w:rPr>
        <w:t>- No aplica</w:t>
      </w:r>
    </w:p>
    <w:p w:rsidR="000A0DE1" w:rsidRPr="00707839" w:rsidRDefault="000A0DE1" w:rsidP="000A0DE1">
      <w:pPr>
        <w:jc w:val="both"/>
        <w:rPr>
          <w:rFonts w:ascii="Calibri" w:hAnsi="Calibri"/>
          <w:sz w:val="20"/>
          <w:szCs w:val="20"/>
        </w:rPr>
      </w:pPr>
      <w:r w:rsidRPr="00707839">
        <w:rPr>
          <w:rFonts w:ascii="Calibri" w:hAnsi="Calibri"/>
          <w:sz w:val="20"/>
          <w:szCs w:val="20"/>
        </w:rPr>
        <w:t xml:space="preserve"> Bienes concesionados o en comodato</w:t>
      </w:r>
    </w:p>
    <w:p w:rsidR="000A0DE1" w:rsidRPr="00707839" w:rsidRDefault="000A0DE1" w:rsidP="000A0DE1">
      <w:pPr>
        <w:jc w:val="both"/>
        <w:rPr>
          <w:rFonts w:ascii="Calibri" w:hAnsi="Calibri"/>
          <w:sz w:val="20"/>
          <w:szCs w:val="20"/>
        </w:rPr>
      </w:pPr>
    </w:p>
    <w:p w:rsidR="000A0DE1" w:rsidRPr="00707839" w:rsidRDefault="000A0DE1" w:rsidP="000A0DE1">
      <w:pPr>
        <w:jc w:val="both"/>
        <w:rPr>
          <w:rFonts w:ascii="Calibri" w:hAnsi="Calibri"/>
          <w:i/>
          <w:sz w:val="20"/>
          <w:szCs w:val="20"/>
        </w:rPr>
      </w:pPr>
      <w:r w:rsidRPr="00707839">
        <w:rPr>
          <w:rFonts w:ascii="Calibri" w:hAnsi="Calibri"/>
          <w:i/>
          <w:sz w:val="20"/>
          <w:szCs w:val="20"/>
        </w:rPr>
        <w:lastRenderedPageBreak/>
        <w:t>Presupuestarias:</w:t>
      </w:r>
    </w:p>
    <w:p w:rsidR="000A0DE1" w:rsidRPr="00707839" w:rsidRDefault="000A0DE1" w:rsidP="000A0DE1">
      <w:pPr>
        <w:jc w:val="both"/>
        <w:rPr>
          <w:rFonts w:ascii="Calibri" w:hAnsi="Calibri"/>
          <w:sz w:val="20"/>
          <w:szCs w:val="20"/>
        </w:rPr>
      </w:pPr>
      <w:r w:rsidRPr="00707839">
        <w:rPr>
          <w:rFonts w:ascii="Calibri" w:hAnsi="Calibri"/>
          <w:sz w:val="20"/>
          <w:szCs w:val="20"/>
        </w:rPr>
        <w:t xml:space="preserve"> Cuentas de ingresos</w:t>
      </w:r>
    </w:p>
    <w:p w:rsidR="00A47351" w:rsidRPr="00707839" w:rsidRDefault="000A0DE1" w:rsidP="000A0DE1">
      <w:pPr>
        <w:jc w:val="both"/>
        <w:rPr>
          <w:rFonts w:ascii="Calibri" w:hAnsi="Calibri"/>
          <w:sz w:val="20"/>
          <w:szCs w:val="20"/>
        </w:rPr>
      </w:pPr>
      <w:r w:rsidRPr="00707839">
        <w:rPr>
          <w:rFonts w:ascii="Calibri" w:hAnsi="Calibri"/>
          <w:sz w:val="20"/>
          <w:szCs w:val="20"/>
        </w:rPr>
        <w:t xml:space="preserve"> Cuentas de egresos</w:t>
      </w:r>
    </w:p>
    <w:p w:rsidR="00B40978" w:rsidRPr="00707839" w:rsidRDefault="00B40978" w:rsidP="00B40978">
      <w:pPr>
        <w:jc w:val="both"/>
        <w:rPr>
          <w:rFonts w:ascii="Calibri" w:hAnsi="Calibri"/>
          <w:sz w:val="20"/>
          <w:szCs w:val="20"/>
        </w:rPr>
      </w:pPr>
    </w:p>
    <w:p w:rsidR="000A0DE1" w:rsidRPr="00707839" w:rsidRDefault="000A0DE1" w:rsidP="000A0DE1">
      <w:pPr>
        <w:pStyle w:val="Prrafodelista"/>
        <w:numPr>
          <w:ilvl w:val="0"/>
          <w:numId w:val="13"/>
        </w:numPr>
        <w:tabs>
          <w:tab w:val="left" w:pos="284"/>
        </w:tabs>
        <w:ind w:left="284" w:hanging="284"/>
        <w:jc w:val="both"/>
        <w:rPr>
          <w:rFonts w:ascii="Calibri" w:hAnsi="Calibri"/>
          <w:sz w:val="20"/>
          <w:szCs w:val="20"/>
        </w:rPr>
      </w:pPr>
      <w:r w:rsidRPr="00707839">
        <w:rPr>
          <w:rFonts w:ascii="Calibri" w:hAnsi="Calibri"/>
          <w:sz w:val="20"/>
          <w:szCs w:val="20"/>
        </w:rPr>
        <w:t xml:space="preserve">A continuación se detallan las cuentas de orden contable </w:t>
      </w:r>
      <w:r w:rsidR="00BD2A58" w:rsidRPr="00707839">
        <w:rPr>
          <w:rFonts w:ascii="Calibri" w:hAnsi="Calibri"/>
          <w:sz w:val="20"/>
          <w:szCs w:val="20"/>
        </w:rPr>
        <w:t xml:space="preserve">al </w:t>
      </w:r>
      <w:r w:rsidR="001A2FAC" w:rsidRPr="00707839">
        <w:rPr>
          <w:rFonts w:ascii="Calibri" w:hAnsi="Calibri"/>
          <w:sz w:val="20"/>
          <w:szCs w:val="20"/>
        </w:rPr>
        <w:t>31 de Mayo de 2022</w:t>
      </w:r>
      <w:r w:rsidRPr="00707839">
        <w:rPr>
          <w:rFonts w:ascii="Calibri" w:hAnsi="Calibri"/>
          <w:sz w:val="20"/>
          <w:szCs w:val="20"/>
        </w:rPr>
        <w:t xml:space="preserve"> :</w:t>
      </w:r>
    </w:p>
    <w:p w:rsidR="003D79BC" w:rsidRPr="00707839" w:rsidRDefault="003D79BC" w:rsidP="003D79BC">
      <w:pPr>
        <w:pStyle w:val="Prrafodelista"/>
        <w:tabs>
          <w:tab w:val="left" w:pos="284"/>
        </w:tabs>
        <w:jc w:val="both"/>
        <w:rPr>
          <w:rFonts w:ascii="Calibri" w:hAnsi="Calibri"/>
          <w:sz w:val="20"/>
          <w:szCs w:val="20"/>
        </w:rPr>
      </w:pPr>
    </w:p>
    <w:p w:rsidR="003D79BC" w:rsidRPr="00707839" w:rsidRDefault="003D79BC" w:rsidP="003D79BC">
      <w:pPr>
        <w:pStyle w:val="Prrafodelista"/>
        <w:tabs>
          <w:tab w:val="left" w:pos="284"/>
        </w:tabs>
        <w:ind w:left="0"/>
        <w:jc w:val="both"/>
        <w:rPr>
          <w:rFonts w:ascii="Calibri" w:hAnsi="Calibri"/>
          <w:sz w:val="20"/>
          <w:szCs w:val="20"/>
        </w:rPr>
      </w:pPr>
      <w:r w:rsidRPr="00707839">
        <w:rPr>
          <w:rFonts w:ascii="Calibri" w:hAnsi="Calibri"/>
          <w:sz w:val="20"/>
          <w:szCs w:val="20"/>
        </w:rPr>
        <w:t>El FIGAROSY cuenta con bienes recibidos en concesión a través de documentos y convenios celebrados con las siguientes instituciones:</w:t>
      </w:r>
    </w:p>
    <w:p w:rsidR="003D79BC" w:rsidRPr="00707839" w:rsidRDefault="003D79BC" w:rsidP="003D79BC">
      <w:pPr>
        <w:pStyle w:val="Prrafodelista"/>
        <w:tabs>
          <w:tab w:val="left" w:pos="284"/>
        </w:tabs>
        <w:ind w:left="0"/>
        <w:jc w:val="both"/>
        <w:rPr>
          <w:rFonts w:ascii="Calibri" w:hAnsi="Calibri"/>
          <w:sz w:val="20"/>
          <w:szCs w:val="20"/>
        </w:rPr>
      </w:pPr>
    </w:p>
    <w:p w:rsidR="003D79BC" w:rsidRPr="00707839" w:rsidRDefault="003D79BC" w:rsidP="003D79BC">
      <w:pPr>
        <w:pStyle w:val="Prrafodelista"/>
        <w:tabs>
          <w:tab w:val="left" w:pos="284"/>
        </w:tabs>
        <w:ind w:left="0"/>
        <w:jc w:val="both"/>
        <w:rPr>
          <w:rFonts w:ascii="Calibri" w:hAnsi="Calibri"/>
          <w:sz w:val="20"/>
          <w:szCs w:val="20"/>
        </w:rPr>
      </w:pPr>
      <w:r w:rsidRPr="00707839">
        <w:rPr>
          <w:rFonts w:ascii="Calibri" w:hAnsi="Calibri"/>
          <w:sz w:val="20"/>
          <w:szCs w:val="20"/>
        </w:rPr>
        <w:t>Secretaría de Administración y Finanzas del Gobierno del Estado (SAF).</w:t>
      </w:r>
    </w:p>
    <w:p w:rsidR="003D79BC" w:rsidRPr="00707839" w:rsidRDefault="003D79BC" w:rsidP="003D79BC">
      <w:pPr>
        <w:pStyle w:val="Prrafodelista"/>
        <w:tabs>
          <w:tab w:val="left" w:pos="284"/>
        </w:tabs>
        <w:ind w:left="0"/>
        <w:jc w:val="both"/>
        <w:rPr>
          <w:rFonts w:ascii="Calibri" w:hAnsi="Calibri"/>
          <w:sz w:val="20"/>
          <w:szCs w:val="20"/>
        </w:rPr>
      </w:pPr>
    </w:p>
    <w:p w:rsidR="003D79BC" w:rsidRPr="00707839" w:rsidRDefault="003D79BC" w:rsidP="003D79BC">
      <w:pPr>
        <w:pStyle w:val="Prrafodelista"/>
        <w:tabs>
          <w:tab w:val="left" w:pos="284"/>
        </w:tabs>
        <w:ind w:left="0"/>
        <w:jc w:val="both"/>
        <w:rPr>
          <w:rFonts w:ascii="Calibri" w:hAnsi="Calibri"/>
          <w:sz w:val="20"/>
          <w:szCs w:val="20"/>
        </w:rPr>
      </w:pPr>
      <w:r w:rsidRPr="00707839">
        <w:rPr>
          <w:rFonts w:ascii="Calibri" w:hAnsi="Calibri"/>
          <w:sz w:val="20"/>
          <w:szCs w:val="20"/>
        </w:rPr>
        <w:t xml:space="preserve">Con esta secretaría se celebró </w:t>
      </w:r>
      <w:r w:rsidR="006039CB" w:rsidRPr="00707839">
        <w:rPr>
          <w:rFonts w:ascii="Calibri" w:hAnsi="Calibri"/>
          <w:sz w:val="20"/>
          <w:szCs w:val="20"/>
        </w:rPr>
        <w:t xml:space="preserve">el </w:t>
      </w:r>
      <w:r w:rsidRPr="00707839">
        <w:rPr>
          <w:rFonts w:ascii="Calibri" w:hAnsi="Calibri"/>
          <w:sz w:val="20"/>
          <w:szCs w:val="20"/>
        </w:rPr>
        <w:t>acuerdo de afectación</w:t>
      </w:r>
      <w:r w:rsidR="006039CB" w:rsidRPr="00707839">
        <w:rPr>
          <w:rFonts w:ascii="Calibri" w:hAnsi="Calibri"/>
          <w:sz w:val="20"/>
          <w:szCs w:val="20"/>
        </w:rPr>
        <w:t xml:space="preserve"> No. SAF/BI.096/2019 del 2 de agosto de 2019,</w:t>
      </w:r>
      <w:r w:rsidRPr="00707839">
        <w:rPr>
          <w:rFonts w:ascii="Calibri" w:hAnsi="Calibri"/>
          <w:sz w:val="20"/>
          <w:szCs w:val="20"/>
        </w:rPr>
        <w:t xml:space="preserve"> por medio del cual se formaliza la ocupación de parte del edificio Teatro Peón Contreras, cede de las oficinas administrativas del FIGAROSY. Este inmueble es catalogado como un monumento histórico, motivo por el cual es de un valor incalculable, y para efectos del CONAC se registra a valor de $1.00. Se encuentra registrado en la contabilidad.</w:t>
      </w:r>
    </w:p>
    <w:p w:rsidR="003D79BC" w:rsidRPr="00707839" w:rsidRDefault="003D79BC" w:rsidP="00F930A2">
      <w:pPr>
        <w:pStyle w:val="Prrafodelista"/>
        <w:tabs>
          <w:tab w:val="left" w:pos="284"/>
        </w:tabs>
        <w:ind w:left="0"/>
        <w:jc w:val="both"/>
        <w:rPr>
          <w:rFonts w:ascii="Calibri" w:hAnsi="Calibri"/>
          <w:sz w:val="20"/>
          <w:szCs w:val="20"/>
        </w:rPr>
      </w:pPr>
    </w:p>
    <w:p w:rsidR="003045FF" w:rsidRPr="00707839" w:rsidRDefault="00EA2BBF" w:rsidP="003D79BC">
      <w:pPr>
        <w:pStyle w:val="Prrafodelista"/>
        <w:tabs>
          <w:tab w:val="left" w:pos="284"/>
        </w:tabs>
        <w:ind w:left="0"/>
        <w:jc w:val="both"/>
        <w:rPr>
          <w:rFonts w:ascii="Calibri" w:hAnsi="Calibri"/>
          <w:sz w:val="20"/>
          <w:szCs w:val="20"/>
        </w:rPr>
      </w:pPr>
      <w:r w:rsidRPr="00707839">
        <w:rPr>
          <w:rFonts w:ascii="Calibri" w:hAnsi="Calibri"/>
          <w:sz w:val="20"/>
          <w:szCs w:val="20"/>
        </w:rPr>
        <w:t xml:space="preserve">De igual forma, </w:t>
      </w:r>
      <w:r w:rsidR="003D79BC" w:rsidRPr="00707839">
        <w:rPr>
          <w:rFonts w:ascii="Calibri" w:hAnsi="Calibri"/>
          <w:sz w:val="20"/>
          <w:szCs w:val="20"/>
        </w:rPr>
        <w:t>esta secretaría  entregó al FIGAROSY mediante formato de entrega-recepción vehicular de fecha 19 de mayo 2</w:t>
      </w:r>
      <w:r w:rsidR="003045FF" w:rsidRPr="00707839">
        <w:rPr>
          <w:rFonts w:ascii="Calibri" w:hAnsi="Calibri"/>
          <w:sz w:val="20"/>
          <w:szCs w:val="20"/>
        </w:rPr>
        <w:t>016 los siguientes vehículos:</w:t>
      </w:r>
    </w:p>
    <w:p w:rsidR="003045FF" w:rsidRPr="00707839" w:rsidRDefault="003045FF" w:rsidP="003D79BC">
      <w:pPr>
        <w:pStyle w:val="Prrafodelista"/>
        <w:tabs>
          <w:tab w:val="left" w:pos="284"/>
        </w:tabs>
        <w:ind w:left="0"/>
        <w:jc w:val="both"/>
        <w:rPr>
          <w:rFonts w:ascii="Calibri" w:hAnsi="Calibri"/>
          <w:sz w:val="20"/>
          <w:szCs w:val="20"/>
        </w:rPr>
      </w:pPr>
    </w:p>
    <w:p w:rsidR="003045FF" w:rsidRPr="00707839" w:rsidRDefault="003045FF" w:rsidP="003D79BC">
      <w:pPr>
        <w:pStyle w:val="Prrafodelista"/>
        <w:tabs>
          <w:tab w:val="left" w:pos="284"/>
        </w:tabs>
        <w:ind w:left="0"/>
        <w:jc w:val="both"/>
        <w:rPr>
          <w:rFonts w:ascii="Calibri" w:hAnsi="Calibri"/>
          <w:sz w:val="20"/>
          <w:szCs w:val="20"/>
        </w:rPr>
      </w:pPr>
      <w:r w:rsidRPr="00707839">
        <w:rPr>
          <w:rFonts w:ascii="Calibri" w:hAnsi="Calibri"/>
          <w:sz w:val="20"/>
          <w:szCs w:val="20"/>
        </w:rPr>
        <w:t>El</w:t>
      </w:r>
      <w:r w:rsidR="00E47B6F" w:rsidRPr="00707839">
        <w:rPr>
          <w:rFonts w:ascii="Calibri" w:hAnsi="Calibri"/>
          <w:sz w:val="20"/>
          <w:szCs w:val="20"/>
        </w:rPr>
        <w:t xml:space="preserve"> </w:t>
      </w:r>
      <w:r w:rsidRPr="00707839">
        <w:rPr>
          <w:rFonts w:ascii="Calibri" w:hAnsi="Calibri"/>
          <w:sz w:val="20"/>
          <w:szCs w:val="20"/>
        </w:rPr>
        <w:t xml:space="preserve">primer vehículo es marca Chevrolet, modelo </w:t>
      </w:r>
      <w:proofErr w:type="spellStart"/>
      <w:r w:rsidRPr="00707839">
        <w:rPr>
          <w:rFonts w:ascii="Calibri" w:hAnsi="Calibri"/>
          <w:sz w:val="20"/>
          <w:szCs w:val="20"/>
        </w:rPr>
        <w:t>Aveo</w:t>
      </w:r>
      <w:proofErr w:type="spellEnd"/>
      <w:r w:rsidRPr="00707839">
        <w:rPr>
          <w:rFonts w:ascii="Calibri" w:hAnsi="Calibri"/>
          <w:sz w:val="20"/>
          <w:szCs w:val="20"/>
        </w:rPr>
        <w:t xml:space="preserve">, año 2016 color blanco, con números de serie </w:t>
      </w:r>
      <w:r w:rsidR="00E47B6F" w:rsidRPr="00707839">
        <w:rPr>
          <w:rFonts w:ascii="Calibri" w:hAnsi="Calibri"/>
          <w:sz w:val="20"/>
          <w:szCs w:val="20"/>
        </w:rPr>
        <w:t>3G1TA5AF1GL152904</w:t>
      </w:r>
      <w:r w:rsidRPr="00707839">
        <w:rPr>
          <w:rFonts w:ascii="Calibri" w:hAnsi="Calibri"/>
          <w:sz w:val="20"/>
          <w:szCs w:val="20"/>
        </w:rPr>
        <w:t xml:space="preserve"> y resguardado por el Chofer/diligenciero. El segundo vehículo es marca Chevrolet, modelo </w:t>
      </w:r>
      <w:proofErr w:type="spellStart"/>
      <w:r w:rsidRPr="00707839">
        <w:rPr>
          <w:rFonts w:ascii="Calibri" w:hAnsi="Calibri"/>
          <w:sz w:val="20"/>
          <w:szCs w:val="20"/>
        </w:rPr>
        <w:t>Aveo</w:t>
      </w:r>
      <w:proofErr w:type="spellEnd"/>
      <w:r w:rsidRPr="00707839">
        <w:rPr>
          <w:rFonts w:ascii="Calibri" w:hAnsi="Calibri"/>
          <w:sz w:val="20"/>
          <w:szCs w:val="20"/>
        </w:rPr>
        <w:t xml:space="preserve">, año 2016 color blanco, con números de serie </w:t>
      </w:r>
      <w:r w:rsidR="00E47B6F" w:rsidRPr="00707839">
        <w:rPr>
          <w:rFonts w:ascii="Calibri" w:hAnsi="Calibri"/>
          <w:sz w:val="20"/>
          <w:szCs w:val="20"/>
        </w:rPr>
        <w:t>3G1TA5AF7GL153118</w:t>
      </w:r>
      <w:r w:rsidRPr="00707839">
        <w:rPr>
          <w:rFonts w:ascii="Calibri" w:hAnsi="Calibri"/>
          <w:sz w:val="20"/>
          <w:szCs w:val="20"/>
        </w:rPr>
        <w:t xml:space="preserve"> y resgua</w:t>
      </w:r>
      <w:r w:rsidR="00E47B6F" w:rsidRPr="00707839">
        <w:rPr>
          <w:rFonts w:ascii="Calibri" w:hAnsi="Calibri"/>
          <w:sz w:val="20"/>
          <w:szCs w:val="20"/>
        </w:rPr>
        <w:t>rdado por el Jefe de Compras</w:t>
      </w:r>
      <w:r w:rsidRPr="00707839">
        <w:rPr>
          <w:rFonts w:ascii="Calibri" w:hAnsi="Calibri"/>
          <w:sz w:val="20"/>
          <w:szCs w:val="20"/>
        </w:rPr>
        <w:t>.</w:t>
      </w:r>
    </w:p>
    <w:p w:rsidR="003045FF" w:rsidRPr="00707839" w:rsidRDefault="003045FF" w:rsidP="003D79BC">
      <w:pPr>
        <w:pStyle w:val="Prrafodelista"/>
        <w:tabs>
          <w:tab w:val="left" w:pos="284"/>
        </w:tabs>
        <w:ind w:left="0"/>
        <w:jc w:val="both"/>
        <w:rPr>
          <w:rFonts w:ascii="Calibri" w:hAnsi="Calibri"/>
          <w:sz w:val="20"/>
          <w:szCs w:val="20"/>
        </w:rPr>
      </w:pPr>
    </w:p>
    <w:p w:rsidR="003D79BC" w:rsidRPr="00707839" w:rsidRDefault="003D79BC" w:rsidP="003D79BC">
      <w:pPr>
        <w:pStyle w:val="Prrafodelista"/>
        <w:tabs>
          <w:tab w:val="left" w:pos="284"/>
        </w:tabs>
        <w:ind w:left="0"/>
        <w:jc w:val="both"/>
        <w:rPr>
          <w:rFonts w:ascii="Calibri" w:hAnsi="Calibri"/>
          <w:sz w:val="20"/>
          <w:szCs w:val="20"/>
        </w:rPr>
      </w:pPr>
      <w:r w:rsidRPr="00707839">
        <w:rPr>
          <w:rFonts w:ascii="Calibri" w:hAnsi="Calibri"/>
          <w:sz w:val="20"/>
          <w:szCs w:val="20"/>
        </w:rPr>
        <w:t>Estos bienes son arrendados por la SAF, por lo que no se conoce el valor factura por lo que se registran a valor de $1.00</w:t>
      </w:r>
      <w:r w:rsidR="00EA2BBF" w:rsidRPr="00707839">
        <w:rPr>
          <w:rFonts w:ascii="Calibri" w:hAnsi="Calibri"/>
          <w:sz w:val="20"/>
          <w:szCs w:val="20"/>
        </w:rPr>
        <w:t xml:space="preserve"> cada uno</w:t>
      </w:r>
      <w:r w:rsidRPr="00707839">
        <w:rPr>
          <w:rFonts w:ascii="Calibri" w:hAnsi="Calibri"/>
          <w:sz w:val="20"/>
          <w:szCs w:val="20"/>
        </w:rPr>
        <w:t>.</w:t>
      </w:r>
    </w:p>
    <w:p w:rsidR="003D79BC" w:rsidRPr="00707839" w:rsidRDefault="003D79BC" w:rsidP="003D79BC">
      <w:pPr>
        <w:pStyle w:val="Prrafodelista"/>
        <w:tabs>
          <w:tab w:val="left" w:pos="284"/>
        </w:tabs>
        <w:ind w:left="0"/>
        <w:jc w:val="both"/>
        <w:rPr>
          <w:rFonts w:ascii="Calibri" w:hAnsi="Calibri"/>
          <w:sz w:val="20"/>
          <w:szCs w:val="20"/>
        </w:rPr>
      </w:pPr>
    </w:p>
    <w:p w:rsidR="003D79BC" w:rsidRPr="00707839" w:rsidRDefault="003D79BC" w:rsidP="003D79BC">
      <w:pPr>
        <w:pStyle w:val="Prrafodelista"/>
        <w:tabs>
          <w:tab w:val="left" w:pos="284"/>
        </w:tabs>
        <w:ind w:left="0"/>
        <w:jc w:val="both"/>
        <w:rPr>
          <w:rFonts w:ascii="Calibri" w:hAnsi="Calibri"/>
          <w:sz w:val="20"/>
          <w:szCs w:val="20"/>
        </w:rPr>
      </w:pPr>
      <w:r w:rsidRPr="00707839">
        <w:rPr>
          <w:rFonts w:ascii="Calibri" w:hAnsi="Calibri"/>
          <w:sz w:val="20"/>
          <w:szCs w:val="20"/>
        </w:rPr>
        <w:t>A continuación se presentan las cuentas de orden contables utilizadas para el registro de bienes en concesión y bienes en comodato.</w:t>
      </w:r>
    </w:p>
    <w:p w:rsidR="003D79BC" w:rsidRPr="00707839" w:rsidRDefault="003D79BC" w:rsidP="003D79BC">
      <w:pPr>
        <w:pStyle w:val="Prrafodelista"/>
        <w:tabs>
          <w:tab w:val="left" w:pos="284"/>
        </w:tabs>
        <w:jc w:val="both"/>
        <w:rPr>
          <w:rFonts w:ascii="Calibri" w:hAnsi="Calibri"/>
          <w:sz w:val="20"/>
          <w:szCs w:val="20"/>
        </w:rPr>
      </w:pPr>
    </w:p>
    <w:p w:rsidR="000A0DE1" w:rsidRPr="00707839" w:rsidRDefault="000A0DE1" w:rsidP="000A0DE1">
      <w:pPr>
        <w:pStyle w:val="Prrafodelista"/>
        <w:tabs>
          <w:tab w:val="left" w:pos="284"/>
        </w:tabs>
        <w:ind w:left="284"/>
        <w:jc w:val="both"/>
        <w:rPr>
          <w:rFonts w:ascii="Calibri" w:hAnsi="Calibri"/>
          <w:sz w:val="20"/>
          <w:szCs w:val="20"/>
        </w:rPr>
      </w:pPr>
    </w:p>
    <w:tbl>
      <w:tblPr>
        <w:tblW w:w="0" w:type="auto"/>
        <w:jc w:val="center"/>
        <w:tblLook w:val="04A0" w:firstRow="1" w:lastRow="0" w:firstColumn="1" w:lastColumn="0" w:noHBand="0" w:noVBand="1"/>
      </w:tblPr>
      <w:tblGrid>
        <w:gridCol w:w="4644"/>
        <w:gridCol w:w="1652"/>
        <w:gridCol w:w="3134"/>
      </w:tblGrid>
      <w:tr w:rsidR="00683A27" w:rsidRPr="00707839" w:rsidTr="007F6C9A">
        <w:trPr>
          <w:jc w:val="center"/>
        </w:trPr>
        <w:tc>
          <w:tcPr>
            <w:tcW w:w="4644" w:type="dxa"/>
            <w:shd w:val="clear" w:color="auto" w:fill="auto"/>
          </w:tcPr>
          <w:p w:rsidR="00683A27" w:rsidRPr="00707839" w:rsidRDefault="00683A27" w:rsidP="0064489C">
            <w:pPr>
              <w:pStyle w:val="Prrafodelista"/>
              <w:tabs>
                <w:tab w:val="left" w:pos="284"/>
              </w:tabs>
              <w:ind w:left="0"/>
              <w:jc w:val="both"/>
              <w:rPr>
                <w:rFonts w:ascii="Calibri" w:hAnsi="Calibri"/>
                <w:b/>
                <w:sz w:val="20"/>
                <w:szCs w:val="20"/>
                <w:u w:val="single"/>
              </w:rPr>
            </w:pPr>
            <w:r w:rsidRPr="00707839">
              <w:rPr>
                <w:rFonts w:ascii="Calibri" w:hAnsi="Calibri"/>
                <w:b/>
                <w:sz w:val="20"/>
                <w:szCs w:val="20"/>
                <w:u w:val="single"/>
              </w:rPr>
              <w:t>BIENES EN CONCESIONADO O EN COMODATO</w:t>
            </w:r>
          </w:p>
        </w:tc>
        <w:tc>
          <w:tcPr>
            <w:tcW w:w="1652" w:type="dxa"/>
            <w:shd w:val="clear" w:color="auto" w:fill="auto"/>
          </w:tcPr>
          <w:p w:rsidR="00683A27" w:rsidRPr="00707839" w:rsidRDefault="00683A27" w:rsidP="0064489C">
            <w:pPr>
              <w:pStyle w:val="Prrafodelista"/>
              <w:tabs>
                <w:tab w:val="left" w:pos="284"/>
              </w:tabs>
              <w:ind w:left="0"/>
              <w:jc w:val="both"/>
              <w:rPr>
                <w:rFonts w:ascii="Calibri" w:hAnsi="Calibri"/>
                <w:sz w:val="20"/>
                <w:szCs w:val="20"/>
              </w:rPr>
            </w:pPr>
          </w:p>
        </w:tc>
        <w:tc>
          <w:tcPr>
            <w:tcW w:w="3134" w:type="dxa"/>
            <w:shd w:val="clear" w:color="auto" w:fill="auto"/>
          </w:tcPr>
          <w:p w:rsidR="00683A27" w:rsidRPr="00707839" w:rsidRDefault="00683A27" w:rsidP="0064489C">
            <w:pPr>
              <w:pStyle w:val="Prrafodelista"/>
              <w:tabs>
                <w:tab w:val="left" w:pos="284"/>
              </w:tabs>
              <w:ind w:left="0"/>
              <w:jc w:val="right"/>
              <w:rPr>
                <w:rFonts w:ascii="Calibri" w:hAnsi="Calibri"/>
                <w:sz w:val="20"/>
                <w:szCs w:val="20"/>
              </w:rPr>
            </w:pPr>
          </w:p>
        </w:tc>
      </w:tr>
      <w:tr w:rsidR="00683A27" w:rsidRPr="00707839" w:rsidTr="007F6C9A">
        <w:trPr>
          <w:jc w:val="center"/>
        </w:trPr>
        <w:tc>
          <w:tcPr>
            <w:tcW w:w="4644" w:type="dxa"/>
            <w:shd w:val="clear" w:color="auto" w:fill="auto"/>
          </w:tcPr>
          <w:p w:rsidR="00683A27" w:rsidRPr="00707839" w:rsidRDefault="00683A27" w:rsidP="0064489C">
            <w:pPr>
              <w:pStyle w:val="Prrafodelista"/>
              <w:tabs>
                <w:tab w:val="left" w:pos="284"/>
              </w:tabs>
              <w:ind w:left="0"/>
              <w:jc w:val="both"/>
              <w:rPr>
                <w:rFonts w:ascii="Calibri" w:hAnsi="Calibri"/>
                <w:sz w:val="20"/>
                <w:szCs w:val="20"/>
              </w:rPr>
            </w:pPr>
            <w:r w:rsidRPr="00707839">
              <w:rPr>
                <w:rFonts w:ascii="Calibri" w:hAnsi="Calibri"/>
                <w:sz w:val="20"/>
                <w:szCs w:val="20"/>
              </w:rPr>
              <w:t>Bienes Bajo contrato en comodato</w:t>
            </w:r>
          </w:p>
        </w:tc>
        <w:tc>
          <w:tcPr>
            <w:tcW w:w="1652" w:type="dxa"/>
            <w:shd w:val="clear" w:color="auto" w:fill="auto"/>
          </w:tcPr>
          <w:p w:rsidR="00683A27" w:rsidRPr="00707839" w:rsidRDefault="00683A27" w:rsidP="0064489C">
            <w:pPr>
              <w:pStyle w:val="Prrafodelista"/>
              <w:tabs>
                <w:tab w:val="left" w:pos="284"/>
              </w:tabs>
              <w:ind w:left="0"/>
              <w:jc w:val="both"/>
              <w:rPr>
                <w:rFonts w:ascii="Calibri" w:hAnsi="Calibri"/>
                <w:sz w:val="20"/>
                <w:szCs w:val="20"/>
              </w:rPr>
            </w:pPr>
          </w:p>
        </w:tc>
        <w:tc>
          <w:tcPr>
            <w:tcW w:w="3134" w:type="dxa"/>
            <w:shd w:val="clear" w:color="auto" w:fill="auto"/>
          </w:tcPr>
          <w:p w:rsidR="00683A27" w:rsidRPr="00707839" w:rsidRDefault="00683A27" w:rsidP="0064489C">
            <w:pPr>
              <w:pStyle w:val="Prrafodelista"/>
              <w:tabs>
                <w:tab w:val="left" w:pos="284"/>
              </w:tabs>
              <w:ind w:left="0"/>
              <w:jc w:val="both"/>
              <w:rPr>
                <w:rFonts w:ascii="Calibri" w:hAnsi="Calibri"/>
                <w:sz w:val="20"/>
                <w:szCs w:val="20"/>
              </w:rPr>
            </w:pPr>
          </w:p>
        </w:tc>
      </w:tr>
      <w:tr w:rsidR="00683A27" w:rsidRPr="00707839" w:rsidTr="007F6C9A">
        <w:trPr>
          <w:jc w:val="center"/>
        </w:trPr>
        <w:tc>
          <w:tcPr>
            <w:tcW w:w="4644" w:type="dxa"/>
            <w:shd w:val="clear" w:color="auto" w:fill="auto"/>
          </w:tcPr>
          <w:p w:rsidR="00683A27" w:rsidRPr="00707839" w:rsidRDefault="00683A27" w:rsidP="0064489C">
            <w:pPr>
              <w:pStyle w:val="Prrafodelista"/>
              <w:tabs>
                <w:tab w:val="left" w:pos="284"/>
              </w:tabs>
              <w:ind w:left="0"/>
              <w:jc w:val="right"/>
              <w:rPr>
                <w:rFonts w:ascii="Calibri" w:hAnsi="Calibri"/>
                <w:i/>
                <w:sz w:val="20"/>
                <w:szCs w:val="20"/>
              </w:rPr>
            </w:pPr>
            <w:r w:rsidRPr="00707839">
              <w:rPr>
                <w:rFonts w:ascii="Calibri" w:hAnsi="Calibri"/>
                <w:i/>
                <w:sz w:val="20"/>
                <w:szCs w:val="20"/>
              </w:rPr>
              <w:t>Secretaría de Administración y Finanzas</w:t>
            </w:r>
          </w:p>
        </w:tc>
        <w:tc>
          <w:tcPr>
            <w:tcW w:w="1652" w:type="dxa"/>
            <w:shd w:val="clear" w:color="auto" w:fill="auto"/>
          </w:tcPr>
          <w:p w:rsidR="00683A27" w:rsidRPr="00707839" w:rsidRDefault="00683A27" w:rsidP="0064489C">
            <w:pPr>
              <w:pStyle w:val="Prrafodelista"/>
              <w:tabs>
                <w:tab w:val="left" w:pos="284"/>
              </w:tabs>
              <w:ind w:left="0"/>
              <w:jc w:val="both"/>
              <w:rPr>
                <w:rFonts w:ascii="Calibri" w:hAnsi="Calibri"/>
                <w:sz w:val="20"/>
                <w:szCs w:val="20"/>
              </w:rPr>
            </w:pPr>
          </w:p>
        </w:tc>
        <w:tc>
          <w:tcPr>
            <w:tcW w:w="3134" w:type="dxa"/>
            <w:shd w:val="clear" w:color="auto" w:fill="auto"/>
          </w:tcPr>
          <w:p w:rsidR="00683A27" w:rsidRPr="00707839" w:rsidRDefault="00683A27" w:rsidP="00EA2BBF">
            <w:pPr>
              <w:pStyle w:val="Prrafodelista"/>
              <w:tabs>
                <w:tab w:val="left" w:pos="284"/>
              </w:tabs>
              <w:ind w:left="0"/>
              <w:jc w:val="right"/>
              <w:rPr>
                <w:rFonts w:ascii="Calibri" w:hAnsi="Calibri"/>
                <w:sz w:val="20"/>
                <w:szCs w:val="20"/>
              </w:rPr>
            </w:pPr>
            <w:r w:rsidRPr="00707839">
              <w:rPr>
                <w:rFonts w:ascii="Calibri" w:hAnsi="Calibri"/>
                <w:sz w:val="20"/>
                <w:szCs w:val="20"/>
              </w:rPr>
              <w:t>$</w:t>
            </w:r>
            <w:r w:rsidR="00EA2BBF" w:rsidRPr="00707839">
              <w:rPr>
                <w:rFonts w:ascii="Calibri" w:hAnsi="Calibri"/>
                <w:sz w:val="20"/>
                <w:szCs w:val="20"/>
              </w:rPr>
              <w:t>3</w:t>
            </w:r>
            <w:r w:rsidRPr="00707839">
              <w:rPr>
                <w:rFonts w:ascii="Calibri" w:hAnsi="Calibri"/>
                <w:sz w:val="20"/>
                <w:szCs w:val="20"/>
              </w:rPr>
              <w:t>.00</w:t>
            </w:r>
          </w:p>
        </w:tc>
      </w:tr>
      <w:tr w:rsidR="00683A27" w:rsidRPr="00707839" w:rsidTr="007F6C9A">
        <w:trPr>
          <w:jc w:val="center"/>
        </w:trPr>
        <w:tc>
          <w:tcPr>
            <w:tcW w:w="4644" w:type="dxa"/>
            <w:shd w:val="clear" w:color="auto" w:fill="auto"/>
          </w:tcPr>
          <w:p w:rsidR="00683A27" w:rsidRPr="00707839" w:rsidRDefault="00683A27" w:rsidP="0064489C">
            <w:pPr>
              <w:pStyle w:val="Prrafodelista"/>
              <w:tabs>
                <w:tab w:val="left" w:pos="284"/>
              </w:tabs>
              <w:ind w:left="0"/>
              <w:jc w:val="right"/>
              <w:rPr>
                <w:rFonts w:ascii="Calibri" w:hAnsi="Calibri"/>
                <w:i/>
                <w:sz w:val="20"/>
                <w:szCs w:val="20"/>
              </w:rPr>
            </w:pPr>
          </w:p>
        </w:tc>
        <w:tc>
          <w:tcPr>
            <w:tcW w:w="1652" w:type="dxa"/>
            <w:shd w:val="clear" w:color="auto" w:fill="auto"/>
          </w:tcPr>
          <w:p w:rsidR="00683A27" w:rsidRPr="00707839" w:rsidRDefault="00683A27" w:rsidP="0064489C">
            <w:pPr>
              <w:pStyle w:val="Prrafodelista"/>
              <w:tabs>
                <w:tab w:val="left" w:pos="284"/>
              </w:tabs>
              <w:ind w:left="0"/>
              <w:jc w:val="both"/>
              <w:rPr>
                <w:rFonts w:ascii="Calibri" w:hAnsi="Calibri"/>
                <w:sz w:val="20"/>
                <w:szCs w:val="20"/>
              </w:rPr>
            </w:pPr>
          </w:p>
        </w:tc>
        <w:tc>
          <w:tcPr>
            <w:tcW w:w="3134" w:type="dxa"/>
            <w:shd w:val="clear" w:color="auto" w:fill="auto"/>
          </w:tcPr>
          <w:p w:rsidR="00683A27" w:rsidRPr="00707839" w:rsidRDefault="00683A27" w:rsidP="0064489C">
            <w:pPr>
              <w:pStyle w:val="Prrafodelista"/>
              <w:tabs>
                <w:tab w:val="left" w:pos="284"/>
              </w:tabs>
              <w:ind w:left="0"/>
              <w:jc w:val="right"/>
              <w:rPr>
                <w:rFonts w:ascii="Calibri" w:hAnsi="Calibri"/>
                <w:sz w:val="20"/>
                <w:szCs w:val="20"/>
              </w:rPr>
            </w:pPr>
          </w:p>
        </w:tc>
      </w:tr>
    </w:tbl>
    <w:p w:rsidR="000A0DE1" w:rsidRPr="00707839" w:rsidRDefault="000A0DE1" w:rsidP="000A0DE1">
      <w:pPr>
        <w:pStyle w:val="Prrafodelista"/>
        <w:tabs>
          <w:tab w:val="left" w:pos="284"/>
        </w:tabs>
        <w:ind w:left="284"/>
        <w:jc w:val="both"/>
        <w:rPr>
          <w:rFonts w:ascii="Calibri" w:hAnsi="Calibri"/>
          <w:sz w:val="20"/>
          <w:szCs w:val="20"/>
        </w:rPr>
      </w:pPr>
    </w:p>
    <w:p w:rsidR="005E50C6" w:rsidRDefault="005E50C6" w:rsidP="000A0DE1">
      <w:pPr>
        <w:pStyle w:val="Prrafodelista"/>
        <w:tabs>
          <w:tab w:val="left" w:pos="284"/>
        </w:tabs>
        <w:ind w:left="284"/>
        <w:jc w:val="both"/>
        <w:rPr>
          <w:rFonts w:ascii="Calibri" w:hAnsi="Calibri"/>
          <w:sz w:val="20"/>
          <w:szCs w:val="20"/>
        </w:rPr>
      </w:pPr>
    </w:p>
    <w:p w:rsidR="006E7C7C" w:rsidRDefault="006E7C7C" w:rsidP="000A0DE1">
      <w:pPr>
        <w:pStyle w:val="Prrafodelista"/>
        <w:tabs>
          <w:tab w:val="left" w:pos="284"/>
        </w:tabs>
        <w:ind w:left="284"/>
        <w:jc w:val="both"/>
        <w:rPr>
          <w:rFonts w:ascii="Calibri" w:hAnsi="Calibri"/>
          <w:sz w:val="20"/>
          <w:szCs w:val="20"/>
        </w:rPr>
      </w:pPr>
    </w:p>
    <w:p w:rsidR="006E7C7C" w:rsidRDefault="006E7C7C" w:rsidP="000A0DE1">
      <w:pPr>
        <w:pStyle w:val="Prrafodelista"/>
        <w:tabs>
          <w:tab w:val="left" w:pos="284"/>
        </w:tabs>
        <w:ind w:left="284"/>
        <w:jc w:val="both"/>
        <w:rPr>
          <w:rFonts w:ascii="Calibri" w:hAnsi="Calibri"/>
          <w:sz w:val="20"/>
          <w:szCs w:val="20"/>
        </w:rPr>
      </w:pPr>
    </w:p>
    <w:p w:rsidR="006E7C7C" w:rsidRDefault="006E7C7C" w:rsidP="000A0DE1">
      <w:pPr>
        <w:pStyle w:val="Prrafodelista"/>
        <w:tabs>
          <w:tab w:val="left" w:pos="284"/>
        </w:tabs>
        <w:ind w:left="284"/>
        <w:jc w:val="both"/>
        <w:rPr>
          <w:rFonts w:ascii="Calibri" w:hAnsi="Calibri"/>
          <w:sz w:val="20"/>
          <w:szCs w:val="20"/>
        </w:rPr>
      </w:pPr>
    </w:p>
    <w:p w:rsidR="006E7C7C" w:rsidRDefault="006E7C7C" w:rsidP="000A0DE1">
      <w:pPr>
        <w:pStyle w:val="Prrafodelista"/>
        <w:tabs>
          <w:tab w:val="left" w:pos="284"/>
        </w:tabs>
        <w:ind w:left="284"/>
        <w:jc w:val="both"/>
        <w:rPr>
          <w:rFonts w:ascii="Calibri" w:hAnsi="Calibri"/>
          <w:sz w:val="20"/>
          <w:szCs w:val="20"/>
        </w:rPr>
      </w:pPr>
    </w:p>
    <w:p w:rsidR="006E7C7C" w:rsidRDefault="006E7C7C" w:rsidP="000A0DE1">
      <w:pPr>
        <w:pStyle w:val="Prrafodelista"/>
        <w:tabs>
          <w:tab w:val="left" w:pos="284"/>
        </w:tabs>
        <w:ind w:left="284"/>
        <w:jc w:val="both"/>
        <w:rPr>
          <w:rFonts w:ascii="Calibri" w:hAnsi="Calibri"/>
          <w:sz w:val="20"/>
          <w:szCs w:val="20"/>
        </w:rPr>
      </w:pPr>
    </w:p>
    <w:p w:rsidR="006E7C7C" w:rsidRDefault="006E7C7C" w:rsidP="000A0DE1">
      <w:pPr>
        <w:pStyle w:val="Prrafodelista"/>
        <w:tabs>
          <w:tab w:val="left" w:pos="284"/>
        </w:tabs>
        <w:ind w:left="284"/>
        <w:jc w:val="both"/>
        <w:rPr>
          <w:rFonts w:ascii="Calibri" w:hAnsi="Calibri"/>
          <w:sz w:val="20"/>
          <w:szCs w:val="20"/>
        </w:rPr>
      </w:pPr>
    </w:p>
    <w:p w:rsidR="006E7C7C" w:rsidRDefault="006E7C7C" w:rsidP="000A0DE1">
      <w:pPr>
        <w:pStyle w:val="Prrafodelista"/>
        <w:tabs>
          <w:tab w:val="left" w:pos="284"/>
        </w:tabs>
        <w:ind w:left="284"/>
        <w:jc w:val="both"/>
        <w:rPr>
          <w:rFonts w:ascii="Calibri" w:hAnsi="Calibri"/>
          <w:sz w:val="20"/>
          <w:szCs w:val="20"/>
        </w:rPr>
      </w:pPr>
    </w:p>
    <w:p w:rsidR="006E7C7C" w:rsidRPr="00707839" w:rsidRDefault="006E7C7C" w:rsidP="000A0DE1">
      <w:pPr>
        <w:pStyle w:val="Prrafodelista"/>
        <w:tabs>
          <w:tab w:val="left" w:pos="284"/>
        </w:tabs>
        <w:ind w:left="284"/>
        <w:jc w:val="both"/>
        <w:rPr>
          <w:rFonts w:ascii="Calibri" w:hAnsi="Calibri"/>
          <w:sz w:val="20"/>
          <w:szCs w:val="20"/>
        </w:rPr>
      </w:pPr>
    </w:p>
    <w:p w:rsidR="00B40978" w:rsidRPr="00707839" w:rsidRDefault="00B40978" w:rsidP="00B40978">
      <w:pPr>
        <w:pStyle w:val="Prrafodelista"/>
        <w:numPr>
          <w:ilvl w:val="0"/>
          <w:numId w:val="13"/>
        </w:numPr>
        <w:tabs>
          <w:tab w:val="left" w:pos="284"/>
        </w:tabs>
        <w:ind w:left="284" w:hanging="284"/>
        <w:jc w:val="both"/>
        <w:rPr>
          <w:rFonts w:ascii="Calibri" w:hAnsi="Calibri"/>
          <w:sz w:val="20"/>
          <w:szCs w:val="20"/>
        </w:rPr>
      </w:pPr>
      <w:r w:rsidRPr="00707839">
        <w:rPr>
          <w:rFonts w:ascii="Calibri" w:hAnsi="Calibri"/>
          <w:sz w:val="20"/>
          <w:szCs w:val="20"/>
        </w:rPr>
        <w:t xml:space="preserve">A continuación se detallan las cuentas de orden presupuestarias </w:t>
      </w:r>
      <w:r w:rsidR="00BD2A58" w:rsidRPr="00707839">
        <w:rPr>
          <w:rFonts w:ascii="Calibri" w:hAnsi="Calibri"/>
          <w:sz w:val="20"/>
          <w:szCs w:val="20"/>
        </w:rPr>
        <w:t xml:space="preserve">al </w:t>
      </w:r>
      <w:r w:rsidR="001A2FAC" w:rsidRPr="00707839">
        <w:rPr>
          <w:rFonts w:ascii="Calibri" w:hAnsi="Calibri"/>
          <w:sz w:val="20"/>
          <w:szCs w:val="20"/>
        </w:rPr>
        <w:t>31 de Mayo de 2022</w:t>
      </w:r>
      <w:r w:rsidRPr="00707839">
        <w:rPr>
          <w:rFonts w:ascii="Calibri" w:hAnsi="Calibri"/>
          <w:sz w:val="20"/>
          <w:szCs w:val="20"/>
        </w:rPr>
        <w:t xml:space="preserve"> :</w:t>
      </w:r>
    </w:p>
    <w:p w:rsidR="004B41B1" w:rsidRPr="00707839" w:rsidRDefault="004B41B1" w:rsidP="004B41B1">
      <w:pPr>
        <w:tabs>
          <w:tab w:val="left" w:pos="284"/>
        </w:tabs>
        <w:jc w:val="both"/>
        <w:rPr>
          <w:rFonts w:ascii="Calibri" w:hAnsi="Calibri"/>
          <w:sz w:val="20"/>
          <w:szCs w:val="20"/>
        </w:rPr>
      </w:pPr>
    </w:p>
    <w:p w:rsidR="004B41B1" w:rsidRPr="00707839" w:rsidRDefault="004B41B1" w:rsidP="004B41B1">
      <w:pPr>
        <w:tabs>
          <w:tab w:val="left" w:pos="284"/>
        </w:tabs>
        <w:jc w:val="both"/>
        <w:rPr>
          <w:rFonts w:ascii="Calibri" w:hAnsi="Calibri"/>
          <w:sz w:val="20"/>
          <w:szCs w:val="20"/>
        </w:rPr>
      </w:pPr>
      <w:r w:rsidRPr="00707839">
        <w:rPr>
          <w:noProof/>
          <w:lang w:eastAsia="es-MX"/>
        </w:rPr>
        <w:lastRenderedPageBreak/>
        <w:drawing>
          <wp:inline distT="0" distB="0" distL="0" distR="0">
            <wp:extent cx="7448550" cy="1476375"/>
            <wp:effectExtent l="0" t="0" r="0" b="9525"/>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448550" cy="1476375"/>
                    </a:xfrm>
                    <a:prstGeom prst="rect">
                      <a:avLst/>
                    </a:prstGeom>
                    <a:noFill/>
                    <a:ln>
                      <a:noFill/>
                    </a:ln>
                  </pic:spPr>
                </pic:pic>
              </a:graphicData>
            </a:graphic>
          </wp:inline>
        </w:drawing>
      </w:r>
    </w:p>
    <w:p w:rsidR="003D52EE" w:rsidRPr="00707839" w:rsidRDefault="003D52EE" w:rsidP="00A47351">
      <w:pPr>
        <w:jc w:val="both"/>
        <w:rPr>
          <w:rFonts w:ascii="Calibri" w:hAnsi="Calibri"/>
          <w:sz w:val="20"/>
          <w:szCs w:val="20"/>
        </w:rPr>
      </w:pPr>
    </w:p>
    <w:p w:rsidR="00E623D5" w:rsidRPr="00707839" w:rsidRDefault="00E623D5" w:rsidP="00A47351">
      <w:pPr>
        <w:jc w:val="both"/>
        <w:rPr>
          <w:rFonts w:ascii="Calibri" w:hAnsi="Calibri"/>
          <w:sz w:val="20"/>
          <w:szCs w:val="20"/>
        </w:rPr>
      </w:pPr>
    </w:p>
    <w:p w:rsidR="004B41B1" w:rsidRPr="00707839" w:rsidRDefault="004B41B1" w:rsidP="00A47351">
      <w:pPr>
        <w:jc w:val="both"/>
        <w:rPr>
          <w:rFonts w:ascii="Calibri" w:hAnsi="Calibri"/>
          <w:sz w:val="20"/>
          <w:szCs w:val="20"/>
        </w:rPr>
      </w:pPr>
    </w:p>
    <w:p w:rsidR="004B41B1" w:rsidRPr="00707839" w:rsidRDefault="004B41B1" w:rsidP="00A47351">
      <w:pPr>
        <w:jc w:val="both"/>
        <w:rPr>
          <w:rFonts w:ascii="Calibri" w:hAnsi="Calibri"/>
          <w:sz w:val="20"/>
          <w:szCs w:val="20"/>
        </w:rPr>
      </w:pPr>
    </w:p>
    <w:p w:rsidR="004B41B1" w:rsidRPr="00707839" w:rsidRDefault="004B41B1" w:rsidP="00A47351">
      <w:pPr>
        <w:jc w:val="both"/>
        <w:rPr>
          <w:rFonts w:ascii="Calibri" w:hAnsi="Calibri"/>
          <w:sz w:val="20"/>
          <w:szCs w:val="20"/>
        </w:rPr>
      </w:pPr>
    </w:p>
    <w:p w:rsidR="00A47351" w:rsidRPr="00707839" w:rsidRDefault="00A47351" w:rsidP="00A47351">
      <w:pPr>
        <w:pStyle w:val="Prrafodelista"/>
        <w:numPr>
          <w:ilvl w:val="0"/>
          <w:numId w:val="15"/>
        </w:numPr>
        <w:tabs>
          <w:tab w:val="left" w:pos="0"/>
          <w:tab w:val="left" w:pos="426"/>
        </w:tabs>
        <w:ind w:left="0" w:firstLine="0"/>
        <w:rPr>
          <w:rFonts w:ascii="Calibri" w:hAnsi="Calibri"/>
          <w:b/>
          <w:sz w:val="20"/>
          <w:szCs w:val="20"/>
        </w:rPr>
      </w:pPr>
      <w:r w:rsidRPr="00707839">
        <w:rPr>
          <w:rFonts w:ascii="Calibri" w:hAnsi="Calibri"/>
          <w:b/>
          <w:sz w:val="20"/>
          <w:szCs w:val="20"/>
        </w:rPr>
        <w:t>NOTAS DE GESTIÓN ADMINISTRATIVA.</w:t>
      </w:r>
    </w:p>
    <w:p w:rsidR="00A47351" w:rsidRPr="00707839" w:rsidRDefault="00A47351" w:rsidP="00A47351">
      <w:pPr>
        <w:tabs>
          <w:tab w:val="left" w:pos="426"/>
        </w:tabs>
        <w:ind w:left="360"/>
        <w:rPr>
          <w:rFonts w:ascii="Calibri" w:hAnsi="Calibri"/>
          <w:b/>
          <w:sz w:val="20"/>
          <w:szCs w:val="20"/>
        </w:rPr>
      </w:pPr>
    </w:p>
    <w:p w:rsidR="00A47351" w:rsidRPr="00707839" w:rsidRDefault="00A47351" w:rsidP="00A47351">
      <w:pPr>
        <w:pStyle w:val="Prrafodelista"/>
        <w:numPr>
          <w:ilvl w:val="0"/>
          <w:numId w:val="28"/>
        </w:numPr>
        <w:tabs>
          <w:tab w:val="left" w:pos="426"/>
        </w:tabs>
        <w:ind w:left="0" w:firstLine="0"/>
        <w:rPr>
          <w:rFonts w:ascii="Calibri" w:hAnsi="Calibri"/>
          <w:b/>
          <w:sz w:val="20"/>
          <w:szCs w:val="20"/>
        </w:rPr>
      </w:pPr>
      <w:r w:rsidRPr="00707839">
        <w:rPr>
          <w:rFonts w:ascii="Calibri" w:hAnsi="Calibri"/>
          <w:b/>
          <w:sz w:val="20"/>
          <w:szCs w:val="20"/>
        </w:rPr>
        <w:t>Introducción.</w:t>
      </w:r>
    </w:p>
    <w:p w:rsidR="00A47351" w:rsidRPr="00707839" w:rsidRDefault="00A47351" w:rsidP="00A47351">
      <w:pPr>
        <w:tabs>
          <w:tab w:val="left" w:pos="426"/>
        </w:tabs>
        <w:rPr>
          <w:rFonts w:ascii="Calibri" w:hAnsi="Calibri"/>
          <w:sz w:val="20"/>
          <w:szCs w:val="20"/>
        </w:rPr>
      </w:pPr>
    </w:p>
    <w:p w:rsidR="00A47351" w:rsidRPr="00707839" w:rsidRDefault="00A47351" w:rsidP="00A47351">
      <w:pPr>
        <w:tabs>
          <w:tab w:val="left" w:pos="426"/>
        </w:tabs>
        <w:jc w:val="both"/>
        <w:rPr>
          <w:rFonts w:ascii="Calibri" w:hAnsi="Calibri"/>
          <w:sz w:val="20"/>
          <w:szCs w:val="20"/>
        </w:rPr>
      </w:pPr>
      <w:r w:rsidRPr="00707839">
        <w:rPr>
          <w:rFonts w:ascii="Calibri" w:hAnsi="Calibri"/>
          <w:sz w:val="20"/>
          <w:szCs w:val="20"/>
        </w:rPr>
        <w:t>Los Estados Financieros del Fideicomiso Garante de la Orquesta Sinfónica de Yucatán, proveen de información financiera a los principales usuarios, al H. Congreso del Estado de Yucatán y a los ciudadanos.</w:t>
      </w:r>
    </w:p>
    <w:p w:rsidR="00A47351" w:rsidRPr="00707839" w:rsidRDefault="00A47351" w:rsidP="00A47351">
      <w:pPr>
        <w:tabs>
          <w:tab w:val="left" w:pos="426"/>
        </w:tabs>
        <w:jc w:val="both"/>
        <w:rPr>
          <w:rFonts w:ascii="Calibri" w:hAnsi="Calibri"/>
          <w:sz w:val="20"/>
          <w:szCs w:val="20"/>
        </w:rPr>
      </w:pPr>
    </w:p>
    <w:p w:rsidR="00A47351" w:rsidRPr="00707839" w:rsidRDefault="00A47351" w:rsidP="00A47351">
      <w:pPr>
        <w:tabs>
          <w:tab w:val="left" w:pos="426"/>
        </w:tabs>
        <w:jc w:val="both"/>
        <w:rPr>
          <w:rFonts w:ascii="Calibri" w:hAnsi="Calibri"/>
          <w:sz w:val="20"/>
          <w:szCs w:val="20"/>
        </w:rPr>
      </w:pPr>
      <w:r w:rsidRPr="00707839">
        <w:rPr>
          <w:rFonts w:ascii="Calibri" w:hAnsi="Calibri"/>
          <w:sz w:val="20"/>
          <w:szCs w:val="20"/>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A47351" w:rsidRPr="00707839" w:rsidRDefault="00A47351" w:rsidP="00A47351">
      <w:pPr>
        <w:tabs>
          <w:tab w:val="left" w:pos="426"/>
        </w:tabs>
        <w:jc w:val="both"/>
        <w:rPr>
          <w:rFonts w:ascii="Calibri" w:hAnsi="Calibri"/>
          <w:sz w:val="20"/>
          <w:szCs w:val="20"/>
        </w:rPr>
      </w:pPr>
    </w:p>
    <w:p w:rsidR="00A47351" w:rsidRPr="00707839" w:rsidRDefault="00A47351" w:rsidP="00A47351">
      <w:pPr>
        <w:tabs>
          <w:tab w:val="left" w:pos="426"/>
        </w:tabs>
        <w:jc w:val="both"/>
        <w:rPr>
          <w:rFonts w:ascii="Calibri" w:hAnsi="Calibri"/>
          <w:sz w:val="20"/>
          <w:szCs w:val="20"/>
        </w:rPr>
      </w:pPr>
      <w:r w:rsidRPr="00707839">
        <w:rPr>
          <w:rFonts w:ascii="Calibri" w:hAnsi="Calibri"/>
          <w:sz w:val="20"/>
          <w:szCs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A47351" w:rsidRPr="00707839" w:rsidRDefault="00A47351" w:rsidP="00A47351">
      <w:pPr>
        <w:tabs>
          <w:tab w:val="left" w:pos="426"/>
        </w:tabs>
        <w:jc w:val="both"/>
        <w:rPr>
          <w:rFonts w:ascii="Calibri" w:hAnsi="Calibri"/>
          <w:sz w:val="20"/>
          <w:szCs w:val="20"/>
        </w:rPr>
      </w:pPr>
    </w:p>
    <w:p w:rsidR="00A47351" w:rsidRPr="00707839" w:rsidRDefault="00A47351" w:rsidP="00A47351">
      <w:pPr>
        <w:pStyle w:val="Prrafodelista"/>
        <w:numPr>
          <w:ilvl w:val="0"/>
          <w:numId w:val="28"/>
        </w:numPr>
        <w:tabs>
          <w:tab w:val="left" w:pos="426"/>
        </w:tabs>
        <w:ind w:left="0" w:firstLine="0"/>
        <w:rPr>
          <w:rFonts w:ascii="Calibri" w:hAnsi="Calibri"/>
          <w:b/>
          <w:sz w:val="20"/>
          <w:szCs w:val="20"/>
        </w:rPr>
      </w:pPr>
      <w:r w:rsidRPr="00707839">
        <w:rPr>
          <w:rFonts w:ascii="Calibri" w:hAnsi="Calibri"/>
          <w:b/>
          <w:sz w:val="20"/>
          <w:szCs w:val="20"/>
        </w:rPr>
        <w:t>Panorama Económico y Financiero.</w:t>
      </w:r>
    </w:p>
    <w:p w:rsidR="00A47351" w:rsidRPr="00707839" w:rsidRDefault="00A47351" w:rsidP="00A47351">
      <w:pPr>
        <w:tabs>
          <w:tab w:val="left" w:pos="426"/>
        </w:tabs>
        <w:jc w:val="both"/>
        <w:rPr>
          <w:rFonts w:ascii="Calibri" w:hAnsi="Calibri"/>
          <w:sz w:val="20"/>
          <w:szCs w:val="20"/>
        </w:rPr>
      </w:pPr>
    </w:p>
    <w:p w:rsidR="00A47351" w:rsidRPr="00707839" w:rsidRDefault="00A47351" w:rsidP="00A47351">
      <w:pPr>
        <w:jc w:val="both"/>
        <w:rPr>
          <w:rFonts w:ascii="Calibri" w:hAnsi="Calibri"/>
          <w:sz w:val="20"/>
          <w:szCs w:val="20"/>
        </w:rPr>
      </w:pPr>
      <w:r w:rsidRPr="00707839">
        <w:rPr>
          <w:rFonts w:ascii="Calibri" w:hAnsi="Calibri"/>
          <w:sz w:val="20"/>
          <w:szCs w:val="20"/>
        </w:rPr>
        <w:t>El Gobierno del Estado de Yucatán ha establecido garantizar que las personas y comunidades tengan acceso a la cultura para el disfrute de sus componentes en condiciones de igualdad, dignidad humana y no discriminación. Esta política se ha establecido en el Plan Estatal de Desarrollo de 2018-2024 del Gobierno del Estado de Yucatán, identificado en el Eje 3 “Yucatán Cultural con Identidad para el Desarrollo”; para tal efecto, se crea el programa presupuestario 462 “Fomento a la creación y manifestación artística”, con el fin de incrementar las creaciones artísticas a través del apoyo a los artistas y creadores mediante el adecuado desarrollo de iniciativas culturales; con el propósito de que artistas y creadores de 15 años en adelante desarrollen adecuadamente sus iniciativas culturales.</w:t>
      </w:r>
    </w:p>
    <w:p w:rsidR="00A47351" w:rsidRPr="00707839" w:rsidRDefault="00A47351" w:rsidP="00A47351">
      <w:pPr>
        <w:tabs>
          <w:tab w:val="left" w:pos="426"/>
        </w:tabs>
        <w:jc w:val="both"/>
        <w:rPr>
          <w:rFonts w:ascii="Calibri" w:hAnsi="Calibri"/>
          <w:sz w:val="20"/>
          <w:szCs w:val="20"/>
        </w:rPr>
      </w:pPr>
    </w:p>
    <w:p w:rsidR="00A47351" w:rsidRPr="00707839" w:rsidRDefault="00A47351" w:rsidP="00A47351">
      <w:pPr>
        <w:pStyle w:val="Prrafodelista"/>
        <w:numPr>
          <w:ilvl w:val="0"/>
          <w:numId w:val="28"/>
        </w:numPr>
        <w:tabs>
          <w:tab w:val="left" w:pos="426"/>
        </w:tabs>
        <w:ind w:left="0" w:firstLine="0"/>
        <w:rPr>
          <w:rFonts w:ascii="Calibri" w:hAnsi="Calibri"/>
          <w:b/>
          <w:sz w:val="20"/>
          <w:szCs w:val="20"/>
        </w:rPr>
      </w:pPr>
      <w:r w:rsidRPr="00707839">
        <w:rPr>
          <w:rFonts w:ascii="Calibri" w:hAnsi="Calibri"/>
          <w:b/>
          <w:sz w:val="20"/>
          <w:szCs w:val="20"/>
        </w:rPr>
        <w:lastRenderedPageBreak/>
        <w:t>Autorización e Historia.</w:t>
      </w:r>
    </w:p>
    <w:p w:rsidR="00A47351" w:rsidRPr="00707839" w:rsidRDefault="00A47351" w:rsidP="00A47351">
      <w:pPr>
        <w:autoSpaceDE w:val="0"/>
        <w:jc w:val="both"/>
        <w:rPr>
          <w:rFonts w:ascii="Calibri" w:hAnsi="Calibri"/>
          <w:sz w:val="20"/>
          <w:szCs w:val="20"/>
        </w:rPr>
      </w:pPr>
    </w:p>
    <w:p w:rsidR="00A47351" w:rsidRPr="00707839" w:rsidRDefault="00A47351" w:rsidP="00A47351">
      <w:pPr>
        <w:autoSpaceDE w:val="0"/>
        <w:jc w:val="both"/>
        <w:rPr>
          <w:rFonts w:ascii="Calibri" w:hAnsi="Calibri"/>
          <w:sz w:val="20"/>
          <w:szCs w:val="20"/>
        </w:rPr>
      </w:pPr>
      <w:r w:rsidRPr="00707839">
        <w:rPr>
          <w:rFonts w:ascii="Calibri" w:hAnsi="Calibri"/>
          <w:sz w:val="20"/>
          <w:szCs w:val="20"/>
        </w:rPr>
        <w:t>El Fideicomiso Garante de la Orquesta Sinfónica de Yucatán (FIGAROSY), es un fideicomiso público de la Administración Pública Descentralizada, creado el 18 de Marzo de 2008, mediante decreto número 69 publicado en el Diario Oficial del Estado de Yucatán.</w:t>
      </w:r>
    </w:p>
    <w:p w:rsidR="00A47351" w:rsidRPr="00707839" w:rsidRDefault="00A47351" w:rsidP="00A47351">
      <w:pPr>
        <w:autoSpaceDE w:val="0"/>
        <w:jc w:val="both"/>
        <w:rPr>
          <w:rFonts w:ascii="Calibri" w:hAnsi="Calibri"/>
          <w:sz w:val="20"/>
          <w:szCs w:val="20"/>
        </w:rPr>
      </w:pPr>
    </w:p>
    <w:p w:rsidR="00A47351" w:rsidRPr="00707839" w:rsidRDefault="00A47351" w:rsidP="00A47351">
      <w:pPr>
        <w:autoSpaceDE w:val="0"/>
        <w:jc w:val="both"/>
        <w:rPr>
          <w:rFonts w:ascii="Calibri" w:hAnsi="Calibri"/>
          <w:sz w:val="20"/>
          <w:szCs w:val="20"/>
        </w:rPr>
      </w:pPr>
      <w:r w:rsidRPr="00707839">
        <w:rPr>
          <w:rFonts w:ascii="Calibri" w:hAnsi="Calibri"/>
          <w:sz w:val="20"/>
          <w:szCs w:val="20"/>
        </w:rPr>
        <w:t>El día 19 de Enero de 2009, mediante el decreto número 160 publicado en el Diario Oficial del Estado de Yucatán, se autorizó reformar, adicionar y derogar diversas disposiciones del decreto que autoriza la creación del FIGAROSY, donde se creó una entidad de la Administración Pública Paraestatal.</w:t>
      </w:r>
    </w:p>
    <w:p w:rsidR="00A47351" w:rsidRPr="00707839" w:rsidRDefault="00A47351" w:rsidP="00A47351">
      <w:pPr>
        <w:autoSpaceDE w:val="0"/>
        <w:jc w:val="both"/>
        <w:rPr>
          <w:rFonts w:ascii="Calibri" w:hAnsi="Calibri"/>
          <w:sz w:val="20"/>
          <w:szCs w:val="20"/>
        </w:rPr>
      </w:pPr>
    </w:p>
    <w:p w:rsidR="00A47351" w:rsidRPr="00707839" w:rsidRDefault="00A47351" w:rsidP="00A47351">
      <w:pPr>
        <w:autoSpaceDE w:val="0"/>
        <w:jc w:val="both"/>
        <w:rPr>
          <w:rFonts w:ascii="Calibri" w:hAnsi="Calibri"/>
          <w:sz w:val="20"/>
          <w:szCs w:val="20"/>
        </w:rPr>
      </w:pPr>
      <w:r w:rsidRPr="00707839">
        <w:rPr>
          <w:rFonts w:ascii="Calibri" w:hAnsi="Calibri"/>
          <w:sz w:val="20"/>
          <w:szCs w:val="20"/>
        </w:rPr>
        <w:t>Cabe señalar que el Fideicomiso Garante de la Orquesta Sinfónica de Yucatán inició operaciones en el mes de Abril de 2009.</w:t>
      </w:r>
    </w:p>
    <w:p w:rsidR="00A47351" w:rsidRPr="00707839" w:rsidRDefault="00A47351" w:rsidP="00A47351">
      <w:pPr>
        <w:autoSpaceDE w:val="0"/>
        <w:jc w:val="both"/>
        <w:rPr>
          <w:rFonts w:ascii="Calibri" w:hAnsi="Calibri"/>
          <w:sz w:val="20"/>
          <w:szCs w:val="20"/>
        </w:rPr>
      </w:pPr>
    </w:p>
    <w:p w:rsidR="00A47351" w:rsidRPr="00707839" w:rsidRDefault="00A47351" w:rsidP="00A47351">
      <w:pPr>
        <w:pStyle w:val="Prrafodelista"/>
        <w:numPr>
          <w:ilvl w:val="0"/>
          <w:numId w:val="28"/>
        </w:numPr>
        <w:tabs>
          <w:tab w:val="left" w:pos="426"/>
        </w:tabs>
        <w:ind w:left="0" w:firstLine="0"/>
        <w:rPr>
          <w:rFonts w:ascii="Calibri" w:hAnsi="Calibri"/>
          <w:b/>
          <w:sz w:val="20"/>
          <w:szCs w:val="20"/>
        </w:rPr>
      </w:pPr>
      <w:r w:rsidRPr="00707839">
        <w:rPr>
          <w:rFonts w:ascii="Calibri" w:hAnsi="Calibri"/>
          <w:b/>
          <w:sz w:val="20"/>
          <w:szCs w:val="20"/>
        </w:rPr>
        <w:t>Organización y Objetivo Social.</w:t>
      </w:r>
    </w:p>
    <w:p w:rsidR="00A47351" w:rsidRPr="00707839" w:rsidRDefault="00A47351" w:rsidP="00A47351">
      <w:pPr>
        <w:autoSpaceDE w:val="0"/>
        <w:jc w:val="both"/>
        <w:rPr>
          <w:rFonts w:ascii="Calibri" w:hAnsi="Calibri"/>
          <w:sz w:val="20"/>
          <w:szCs w:val="20"/>
        </w:rPr>
      </w:pPr>
    </w:p>
    <w:p w:rsidR="00A47351" w:rsidRPr="00707839" w:rsidRDefault="00A47351" w:rsidP="00A47351">
      <w:pPr>
        <w:autoSpaceDE w:val="0"/>
        <w:jc w:val="both"/>
        <w:rPr>
          <w:rFonts w:ascii="Calibri" w:hAnsi="Calibri"/>
          <w:sz w:val="20"/>
          <w:szCs w:val="20"/>
        </w:rPr>
      </w:pPr>
      <w:r w:rsidRPr="00707839">
        <w:rPr>
          <w:rFonts w:ascii="Calibri" w:hAnsi="Calibri"/>
          <w:sz w:val="20"/>
          <w:szCs w:val="20"/>
        </w:rPr>
        <w:t>El objeto principal del FIGAROSY, es la administración e inversión de los recursos para la difusión, preservación, impulso y permanencia de la Orquesta Sinfónica de Yucatán, con una duración de treinta años.</w:t>
      </w:r>
    </w:p>
    <w:p w:rsidR="00A47351" w:rsidRPr="00707839" w:rsidRDefault="00A47351" w:rsidP="00A47351">
      <w:pPr>
        <w:autoSpaceDE w:val="0"/>
        <w:jc w:val="both"/>
        <w:rPr>
          <w:rFonts w:ascii="Calibri" w:hAnsi="Calibri"/>
          <w:sz w:val="20"/>
          <w:szCs w:val="20"/>
        </w:rPr>
      </w:pPr>
    </w:p>
    <w:p w:rsidR="00A47351" w:rsidRPr="00707839" w:rsidRDefault="00A47351" w:rsidP="00A47351">
      <w:pPr>
        <w:autoSpaceDE w:val="0"/>
        <w:jc w:val="both"/>
        <w:rPr>
          <w:rFonts w:ascii="Calibri" w:hAnsi="Calibri"/>
          <w:sz w:val="20"/>
          <w:szCs w:val="20"/>
        </w:rPr>
      </w:pPr>
      <w:r w:rsidRPr="00707839">
        <w:rPr>
          <w:rFonts w:ascii="Calibri" w:hAnsi="Calibri"/>
          <w:sz w:val="20"/>
          <w:szCs w:val="20"/>
        </w:rPr>
        <w:t>Como parte de estos fines, se establece el contrato de fideicomiso No. 80553, número de inversión 1063907, con la institución Nacional Financiera S.N.C., como fiduciaria y como fideicomitente el Gobierno del Estado de Yucatán, representado por la Secretaría de Administración y Finanzas.</w:t>
      </w:r>
    </w:p>
    <w:p w:rsidR="00A47351" w:rsidRPr="00707839" w:rsidRDefault="00A47351" w:rsidP="00A47351">
      <w:pPr>
        <w:autoSpaceDE w:val="0"/>
        <w:jc w:val="both"/>
        <w:rPr>
          <w:rFonts w:ascii="Calibri" w:hAnsi="Calibri"/>
          <w:sz w:val="20"/>
          <w:szCs w:val="20"/>
        </w:rPr>
      </w:pPr>
    </w:p>
    <w:p w:rsidR="00A47351" w:rsidRPr="00707839" w:rsidRDefault="00A47351" w:rsidP="00A47351">
      <w:pPr>
        <w:autoSpaceDE w:val="0"/>
        <w:jc w:val="both"/>
        <w:rPr>
          <w:rFonts w:ascii="Calibri" w:hAnsi="Calibri"/>
          <w:sz w:val="20"/>
          <w:szCs w:val="20"/>
        </w:rPr>
      </w:pPr>
      <w:r w:rsidRPr="00707839">
        <w:rPr>
          <w:rFonts w:ascii="Calibri" w:hAnsi="Calibri"/>
          <w:sz w:val="20"/>
          <w:szCs w:val="20"/>
        </w:rPr>
        <w:t>El FIGAROSY, inicia su ejercicio fiscal el día 1 de Enero y lo cierra el día 31 de Diciembre de cada año.</w:t>
      </w:r>
    </w:p>
    <w:p w:rsidR="00A47351" w:rsidRPr="00707839" w:rsidRDefault="00A47351" w:rsidP="00A47351">
      <w:pPr>
        <w:autoSpaceDE w:val="0"/>
        <w:jc w:val="both"/>
        <w:rPr>
          <w:rFonts w:ascii="Calibri" w:hAnsi="Calibri"/>
          <w:sz w:val="20"/>
          <w:szCs w:val="20"/>
        </w:rPr>
      </w:pPr>
    </w:p>
    <w:p w:rsidR="00A47351" w:rsidRPr="00707839" w:rsidRDefault="00A47351" w:rsidP="00A47351">
      <w:pPr>
        <w:autoSpaceDE w:val="0"/>
        <w:jc w:val="both"/>
        <w:rPr>
          <w:rFonts w:ascii="Calibri" w:hAnsi="Calibri"/>
          <w:sz w:val="20"/>
          <w:szCs w:val="20"/>
        </w:rPr>
      </w:pPr>
      <w:r w:rsidRPr="00707839">
        <w:rPr>
          <w:rFonts w:ascii="Calibri" w:hAnsi="Calibri"/>
          <w:sz w:val="20"/>
          <w:szCs w:val="20"/>
        </w:rPr>
        <w:t>El FIGAROSY está regulado por:</w:t>
      </w:r>
    </w:p>
    <w:p w:rsidR="00A47351" w:rsidRPr="00707839" w:rsidRDefault="00A47351" w:rsidP="00A47351">
      <w:pPr>
        <w:autoSpaceDE w:val="0"/>
        <w:jc w:val="both"/>
        <w:rPr>
          <w:rFonts w:ascii="Calibri" w:hAnsi="Calibri"/>
          <w:sz w:val="20"/>
          <w:szCs w:val="20"/>
        </w:rPr>
      </w:pPr>
    </w:p>
    <w:p w:rsidR="00A47351" w:rsidRPr="00707839" w:rsidRDefault="00A47351" w:rsidP="00A47351">
      <w:pPr>
        <w:pStyle w:val="Prrafodelista"/>
        <w:numPr>
          <w:ilvl w:val="0"/>
          <w:numId w:val="3"/>
        </w:numPr>
        <w:tabs>
          <w:tab w:val="left" w:pos="284"/>
        </w:tabs>
        <w:autoSpaceDE w:val="0"/>
        <w:ind w:left="0" w:firstLine="0"/>
        <w:jc w:val="both"/>
        <w:rPr>
          <w:rFonts w:ascii="Calibri" w:hAnsi="Calibri"/>
          <w:sz w:val="20"/>
          <w:szCs w:val="20"/>
        </w:rPr>
      </w:pPr>
      <w:r w:rsidRPr="00707839">
        <w:rPr>
          <w:rFonts w:ascii="Calibri" w:hAnsi="Calibri"/>
          <w:sz w:val="20"/>
          <w:szCs w:val="20"/>
        </w:rPr>
        <w:t>Decreto de creación del Fideicomiso Garante de la Orquesta Sinfónica de Yucatán.</w:t>
      </w:r>
    </w:p>
    <w:p w:rsidR="00A47351" w:rsidRPr="00707839" w:rsidRDefault="00A47351" w:rsidP="00A47351">
      <w:pPr>
        <w:pStyle w:val="Prrafodelista"/>
        <w:numPr>
          <w:ilvl w:val="0"/>
          <w:numId w:val="3"/>
        </w:numPr>
        <w:tabs>
          <w:tab w:val="left" w:pos="284"/>
        </w:tabs>
        <w:autoSpaceDE w:val="0"/>
        <w:ind w:left="0" w:firstLine="0"/>
        <w:jc w:val="both"/>
        <w:rPr>
          <w:rFonts w:ascii="Calibri" w:hAnsi="Calibri"/>
          <w:sz w:val="20"/>
          <w:szCs w:val="20"/>
        </w:rPr>
      </w:pPr>
      <w:r w:rsidRPr="00707839">
        <w:rPr>
          <w:rFonts w:ascii="Calibri" w:hAnsi="Calibri"/>
          <w:sz w:val="20"/>
          <w:szCs w:val="20"/>
        </w:rPr>
        <w:t>Decreto de modificación del Fideicomiso Garante de la Orquesta Sinfónica de Yucatán.</w:t>
      </w:r>
    </w:p>
    <w:p w:rsidR="00A47351" w:rsidRPr="00707839" w:rsidRDefault="00A47351" w:rsidP="00A47351">
      <w:pPr>
        <w:pStyle w:val="Prrafodelista"/>
        <w:numPr>
          <w:ilvl w:val="0"/>
          <w:numId w:val="3"/>
        </w:numPr>
        <w:tabs>
          <w:tab w:val="left" w:pos="284"/>
        </w:tabs>
        <w:autoSpaceDE w:val="0"/>
        <w:ind w:left="0" w:firstLine="0"/>
        <w:jc w:val="both"/>
        <w:rPr>
          <w:rFonts w:ascii="Calibri" w:hAnsi="Calibri"/>
          <w:sz w:val="20"/>
          <w:szCs w:val="20"/>
        </w:rPr>
      </w:pPr>
      <w:r w:rsidRPr="00707839">
        <w:rPr>
          <w:rFonts w:ascii="Calibri" w:hAnsi="Calibri"/>
          <w:sz w:val="20"/>
          <w:szCs w:val="20"/>
        </w:rPr>
        <w:t>Constitución Política de los Estados Unidos Mexicanos.</w:t>
      </w:r>
    </w:p>
    <w:p w:rsidR="00A47351" w:rsidRPr="00707839" w:rsidRDefault="00A47351" w:rsidP="00A47351">
      <w:pPr>
        <w:pStyle w:val="Prrafodelista"/>
        <w:numPr>
          <w:ilvl w:val="0"/>
          <w:numId w:val="3"/>
        </w:numPr>
        <w:tabs>
          <w:tab w:val="left" w:pos="284"/>
        </w:tabs>
        <w:autoSpaceDE w:val="0"/>
        <w:ind w:left="0" w:firstLine="0"/>
        <w:jc w:val="both"/>
        <w:rPr>
          <w:rFonts w:ascii="Calibri" w:hAnsi="Calibri"/>
          <w:sz w:val="20"/>
          <w:szCs w:val="20"/>
        </w:rPr>
      </w:pPr>
      <w:r w:rsidRPr="00707839">
        <w:rPr>
          <w:rFonts w:ascii="Calibri" w:hAnsi="Calibri"/>
          <w:sz w:val="20"/>
          <w:szCs w:val="20"/>
        </w:rPr>
        <w:t>Constitución Política del Estado de Yucatán.</w:t>
      </w:r>
    </w:p>
    <w:p w:rsidR="00A47351" w:rsidRPr="00707839" w:rsidRDefault="00A47351" w:rsidP="00A47351">
      <w:pPr>
        <w:pStyle w:val="Prrafodelista"/>
        <w:numPr>
          <w:ilvl w:val="0"/>
          <w:numId w:val="3"/>
        </w:numPr>
        <w:tabs>
          <w:tab w:val="left" w:pos="284"/>
        </w:tabs>
        <w:autoSpaceDE w:val="0"/>
        <w:ind w:left="0" w:firstLine="0"/>
        <w:jc w:val="both"/>
        <w:rPr>
          <w:rFonts w:ascii="Calibri" w:hAnsi="Calibri"/>
          <w:sz w:val="20"/>
          <w:szCs w:val="20"/>
        </w:rPr>
      </w:pPr>
      <w:r w:rsidRPr="00707839">
        <w:rPr>
          <w:rFonts w:ascii="Calibri" w:hAnsi="Calibri"/>
          <w:sz w:val="20"/>
          <w:szCs w:val="20"/>
        </w:rPr>
        <w:t>Código de Administración Pública del Estado de Yucatán.</w:t>
      </w:r>
    </w:p>
    <w:p w:rsidR="00A47351" w:rsidRPr="00707839" w:rsidRDefault="00A47351" w:rsidP="00A47351">
      <w:pPr>
        <w:pStyle w:val="Prrafodelista"/>
        <w:numPr>
          <w:ilvl w:val="0"/>
          <w:numId w:val="3"/>
        </w:numPr>
        <w:tabs>
          <w:tab w:val="left" w:pos="284"/>
        </w:tabs>
        <w:autoSpaceDE w:val="0"/>
        <w:ind w:left="0" w:firstLine="0"/>
        <w:jc w:val="both"/>
        <w:rPr>
          <w:rFonts w:ascii="Calibri" w:hAnsi="Calibri"/>
          <w:sz w:val="20"/>
          <w:szCs w:val="20"/>
        </w:rPr>
      </w:pPr>
      <w:r w:rsidRPr="00707839">
        <w:rPr>
          <w:rFonts w:ascii="Calibri" w:hAnsi="Calibri"/>
          <w:sz w:val="20"/>
          <w:szCs w:val="20"/>
        </w:rPr>
        <w:t>Reglamento del Código de la Administración Pública del Estado de Yucatán.</w:t>
      </w:r>
    </w:p>
    <w:p w:rsidR="00A47351" w:rsidRPr="00707839" w:rsidRDefault="00A47351" w:rsidP="00A47351">
      <w:pPr>
        <w:pStyle w:val="Prrafodelista"/>
        <w:numPr>
          <w:ilvl w:val="0"/>
          <w:numId w:val="3"/>
        </w:numPr>
        <w:tabs>
          <w:tab w:val="left" w:pos="284"/>
        </w:tabs>
        <w:autoSpaceDE w:val="0"/>
        <w:ind w:left="0" w:firstLine="0"/>
        <w:jc w:val="both"/>
        <w:rPr>
          <w:rFonts w:ascii="Calibri" w:hAnsi="Calibri"/>
          <w:sz w:val="20"/>
          <w:szCs w:val="20"/>
        </w:rPr>
      </w:pPr>
      <w:r w:rsidRPr="00707839">
        <w:rPr>
          <w:rFonts w:ascii="Calibri" w:hAnsi="Calibri"/>
          <w:sz w:val="20"/>
          <w:szCs w:val="20"/>
        </w:rPr>
        <w:t>Ley del Presupuesto y Contabilidad Gubernamental del Estado de Yucatán.</w:t>
      </w:r>
    </w:p>
    <w:p w:rsidR="00A47351" w:rsidRPr="00707839" w:rsidRDefault="00A47351" w:rsidP="00A47351">
      <w:pPr>
        <w:pStyle w:val="Prrafodelista"/>
        <w:numPr>
          <w:ilvl w:val="0"/>
          <w:numId w:val="3"/>
        </w:numPr>
        <w:tabs>
          <w:tab w:val="left" w:pos="284"/>
        </w:tabs>
        <w:autoSpaceDE w:val="0"/>
        <w:ind w:left="0" w:firstLine="0"/>
        <w:jc w:val="both"/>
        <w:rPr>
          <w:rFonts w:ascii="Calibri" w:hAnsi="Calibri"/>
          <w:sz w:val="20"/>
          <w:szCs w:val="20"/>
        </w:rPr>
      </w:pPr>
      <w:r w:rsidRPr="00707839">
        <w:rPr>
          <w:rFonts w:ascii="Calibri" w:hAnsi="Calibri"/>
          <w:sz w:val="20"/>
          <w:szCs w:val="20"/>
        </w:rPr>
        <w:t>Ley General de Contabilidad Gubernamental.</w:t>
      </w:r>
    </w:p>
    <w:p w:rsidR="00A47351" w:rsidRPr="00707839" w:rsidRDefault="00A47351" w:rsidP="00A47351">
      <w:pPr>
        <w:pStyle w:val="Prrafodelista"/>
        <w:numPr>
          <w:ilvl w:val="0"/>
          <w:numId w:val="3"/>
        </w:numPr>
        <w:tabs>
          <w:tab w:val="left" w:pos="284"/>
        </w:tabs>
        <w:autoSpaceDE w:val="0"/>
        <w:ind w:left="0" w:firstLine="0"/>
        <w:jc w:val="both"/>
        <w:rPr>
          <w:rFonts w:ascii="Calibri" w:hAnsi="Calibri"/>
          <w:sz w:val="20"/>
          <w:szCs w:val="20"/>
        </w:rPr>
      </w:pPr>
      <w:r w:rsidRPr="00707839">
        <w:rPr>
          <w:rFonts w:ascii="Calibri" w:hAnsi="Calibri"/>
          <w:sz w:val="20"/>
          <w:szCs w:val="20"/>
        </w:rPr>
        <w:t>Ley de Disciplina Financiera de las Entidades Federativas y los Municipios</w:t>
      </w:r>
    </w:p>
    <w:p w:rsidR="00A47351" w:rsidRPr="00707839" w:rsidRDefault="00A47351" w:rsidP="00A47351">
      <w:pPr>
        <w:pStyle w:val="Prrafodelista"/>
        <w:numPr>
          <w:ilvl w:val="0"/>
          <w:numId w:val="3"/>
        </w:numPr>
        <w:tabs>
          <w:tab w:val="left" w:pos="284"/>
        </w:tabs>
        <w:autoSpaceDE w:val="0"/>
        <w:ind w:left="0" w:firstLine="0"/>
        <w:jc w:val="both"/>
        <w:rPr>
          <w:rFonts w:ascii="Calibri" w:hAnsi="Calibri"/>
          <w:sz w:val="20"/>
          <w:szCs w:val="20"/>
        </w:rPr>
      </w:pPr>
      <w:r w:rsidRPr="00707839">
        <w:rPr>
          <w:rFonts w:ascii="Calibri" w:hAnsi="Calibri"/>
          <w:sz w:val="20"/>
          <w:szCs w:val="20"/>
        </w:rPr>
        <w:t>Ley de Responsabilidades de los Servidores Públicos del Estado de Yucatán.</w:t>
      </w:r>
    </w:p>
    <w:p w:rsidR="00A47351" w:rsidRPr="00707839" w:rsidRDefault="00A47351" w:rsidP="00A47351">
      <w:pPr>
        <w:pStyle w:val="Prrafodelista"/>
        <w:numPr>
          <w:ilvl w:val="0"/>
          <w:numId w:val="3"/>
        </w:numPr>
        <w:tabs>
          <w:tab w:val="left" w:pos="284"/>
        </w:tabs>
        <w:autoSpaceDE w:val="0"/>
        <w:ind w:left="0" w:firstLine="0"/>
        <w:jc w:val="both"/>
        <w:rPr>
          <w:rFonts w:ascii="Calibri" w:hAnsi="Calibri"/>
          <w:sz w:val="20"/>
          <w:szCs w:val="20"/>
        </w:rPr>
      </w:pPr>
      <w:r w:rsidRPr="00707839">
        <w:rPr>
          <w:rFonts w:ascii="Calibri" w:hAnsi="Calibri"/>
          <w:sz w:val="20"/>
          <w:szCs w:val="20"/>
        </w:rPr>
        <w:t xml:space="preserve">Ley de Adquisiciones, Arrendamientos, y Prestaciones de Servicios Relacionados con Bienes Muebles. </w:t>
      </w:r>
    </w:p>
    <w:p w:rsidR="00A47351" w:rsidRPr="00707839" w:rsidRDefault="00A47351" w:rsidP="00A47351">
      <w:pPr>
        <w:pStyle w:val="Prrafodelista"/>
        <w:numPr>
          <w:ilvl w:val="0"/>
          <w:numId w:val="3"/>
        </w:numPr>
        <w:tabs>
          <w:tab w:val="left" w:pos="284"/>
        </w:tabs>
        <w:autoSpaceDE w:val="0"/>
        <w:ind w:left="0" w:firstLine="0"/>
        <w:jc w:val="both"/>
        <w:rPr>
          <w:rFonts w:ascii="Calibri" w:hAnsi="Calibri"/>
          <w:sz w:val="20"/>
          <w:szCs w:val="20"/>
        </w:rPr>
      </w:pPr>
      <w:r w:rsidRPr="00707839">
        <w:rPr>
          <w:rFonts w:ascii="Calibri" w:hAnsi="Calibri"/>
          <w:sz w:val="20"/>
          <w:szCs w:val="20"/>
        </w:rPr>
        <w:t>Ley General de Transparencia y Acceso a la Información Pública.</w:t>
      </w:r>
    </w:p>
    <w:p w:rsidR="00A47351" w:rsidRPr="00707839" w:rsidRDefault="00A47351" w:rsidP="00A47351">
      <w:pPr>
        <w:pStyle w:val="Prrafodelista"/>
        <w:numPr>
          <w:ilvl w:val="0"/>
          <w:numId w:val="3"/>
        </w:numPr>
        <w:tabs>
          <w:tab w:val="left" w:pos="284"/>
        </w:tabs>
        <w:autoSpaceDE w:val="0"/>
        <w:ind w:left="0" w:firstLine="0"/>
        <w:jc w:val="both"/>
        <w:rPr>
          <w:rFonts w:ascii="Calibri" w:hAnsi="Calibri"/>
          <w:sz w:val="20"/>
          <w:szCs w:val="20"/>
        </w:rPr>
      </w:pPr>
      <w:r w:rsidRPr="00707839">
        <w:rPr>
          <w:rFonts w:ascii="Calibri" w:hAnsi="Calibri"/>
          <w:sz w:val="20"/>
          <w:szCs w:val="20"/>
        </w:rPr>
        <w:t xml:space="preserve">Estatuto Orgánico del Fideicomiso Garante de la Orquesta Sinfónica de Yucatán. </w:t>
      </w:r>
    </w:p>
    <w:p w:rsidR="00A47351" w:rsidRPr="00707839" w:rsidRDefault="00A47351" w:rsidP="00A47351">
      <w:pPr>
        <w:autoSpaceDE w:val="0"/>
        <w:jc w:val="both"/>
        <w:rPr>
          <w:rFonts w:ascii="Calibri" w:hAnsi="Calibri"/>
          <w:sz w:val="20"/>
          <w:szCs w:val="20"/>
        </w:rPr>
      </w:pPr>
    </w:p>
    <w:p w:rsidR="00A47351" w:rsidRPr="00707839" w:rsidRDefault="00A47351" w:rsidP="00A47351">
      <w:pPr>
        <w:autoSpaceDE w:val="0"/>
        <w:jc w:val="both"/>
        <w:rPr>
          <w:rFonts w:ascii="Calibri" w:hAnsi="Calibri"/>
          <w:sz w:val="20"/>
          <w:szCs w:val="20"/>
        </w:rPr>
      </w:pPr>
      <w:r w:rsidRPr="00707839">
        <w:rPr>
          <w:rFonts w:ascii="Calibri" w:hAnsi="Calibri"/>
          <w:sz w:val="20"/>
          <w:szCs w:val="20"/>
        </w:rPr>
        <w:lastRenderedPageBreak/>
        <w:t>El FIGAROSY es una Persona Moral sin Fines de Lucro, conforme a los artículos 79 y 86 del Título Tercero de la ley del Impuesto Sobre la Renta, por ser un organismo público paraestatal de la administración estatal. Para tal efecto, está obligado a retener el Impuesto Sobre la Renta por la prestación de un servicio personal subordinado, por la prestación de un servicio profesional y arrendamiento de inmuebles.</w:t>
      </w:r>
    </w:p>
    <w:p w:rsidR="00A47351" w:rsidRPr="00707839" w:rsidRDefault="00A47351" w:rsidP="00A47351">
      <w:pPr>
        <w:jc w:val="both"/>
        <w:rPr>
          <w:rFonts w:ascii="Calibri" w:hAnsi="Calibri" w:cs="Arial"/>
          <w:bCs/>
          <w:sz w:val="20"/>
          <w:szCs w:val="20"/>
        </w:rPr>
      </w:pPr>
    </w:p>
    <w:p w:rsidR="00A47351" w:rsidRPr="00707839" w:rsidRDefault="00A47351" w:rsidP="00A47351">
      <w:pPr>
        <w:jc w:val="both"/>
        <w:rPr>
          <w:rFonts w:ascii="Calibri" w:hAnsi="Calibri"/>
          <w:sz w:val="20"/>
          <w:szCs w:val="20"/>
        </w:rPr>
      </w:pPr>
      <w:r w:rsidRPr="00707839">
        <w:rPr>
          <w:rFonts w:ascii="Calibri" w:hAnsi="Calibri"/>
          <w:sz w:val="20"/>
          <w:szCs w:val="20"/>
        </w:rPr>
        <w:t>Para dar cumplimiento a los fines para los que fue creado, el FIGAROSY cuenta con los siguientes órganos y unidades administrativas:</w:t>
      </w:r>
    </w:p>
    <w:p w:rsidR="00A47351" w:rsidRPr="00707839" w:rsidRDefault="00A47351" w:rsidP="00A47351">
      <w:pPr>
        <w:jc w:val="both"/>
        <w:rPr>
          <w:rFonts w:ascii="Calibri" w:hAnsi="Calibri"/>
          <w:sz w:val="20"/>
          <w:szCs w:val="20"/>
        </w:rPr>
      </w:pPr>
    </w:p>
    <w:p w:rsidR="00A47351" w:rsidRPr="00707839" w:rsidRDefault="00A47351" w:rsidP="00A47351">
      <w:pPr>
        <w:pStyle w:val="Prrafodelista"/>
        <w:numPr>
          <w:ilvl w:val="0"/>
          <w:numId w:val="1"/>
        </w:numPr>
        <w:tabs>
          <w:tab w:val="left" w:pos="284"/>
        </w:tabs>
        <w:ind w:hanging="720"/>
        <w:jc w:val="both"/>
        <w:rPr>
          <w:rFonts w:ascii="Calibri" w:hAnsi="Calibri"/>
          <w:sz w:val="20"/>
          <w:szCs w:val="20"/>
        </w:rPr>
      </w:pPr>
      <w:r w:rsidRPr="00707839">
        <w:rPr>
          <w:rFonts w:ascii="Calibri" w:hAnsi="Calibri"/>
          <w:sz w:val="20"/>
          <w:szCs w:val="20"/>
        </w:rPr>
        <w:t>De Gobierno: Comité Técnico.</w:t>
      </w:r>
    </w:p>
    <w:p w:rsidR="00A47351" w:rsidRPr="00707839" w:rsidRDefault="00A47351" w:rsidP="00A47351">
      <w:pPr>
        <w:pStyle w:val="Prrafodelista"/>
        <w:numPr>
          <w:ilvl w:val="0"/>
          <w:numId w:val="1"/>
        </w:numPr>
        <w:tabs>
          <w:tab w:val="left" w:pos="284"/>
        </w:tabs>
        <w:ind w:left="0" w:firstLine="0"/>
        <w:jc w:val="both"/>
        <w:rPr>
          <w:rFonts w:ascii="Calibri" w:hAnsi="Calibri"/>
          <w:sz w:val="20"/>
          <w:szCs w:val="20"/>
        </w:rPr>
      </w:pPr>
      <w:r w:rsidRPr="00707839">
        <w:rPr>
          <w:rFonts w:ascii="Calibri" w:hAnsi="Calibri"/>
          <w:sz w:val="20"/>
          <w:szCs w:val="20"/>
        </w:rPr>
        <w:t xml:space="preserve">De Administración: - Dirección General, </w:t>
      </w:r>
    </w:p>
    <w:p w:rsidR="00A47351" w:rsidRPr="00707839" w:rsidRDefault="00A47351" w:rsidP="00A47351">
      <w:pPr>
        <w:pStyle w:val="Prrafodelista"/>
        <w:numPr>
          <w:ilvl w:val="0"/>
          <w:numId w:val="11"/>
        </w:numPr>
        <w:tabs>
          <w:tab w:val="left" w:pos="284"/>
        </w:tabs>
        <w:ind w:left="1985" w:firstLine="0"/>
        <w:jc w:val="both"/>
        <w:rPr>
          <w:rFonts w:ascii="Calibri" w:hAnsi="Calibri"/>
          <w:sz w:val="20"/>
          <w:szCs w:val="20"/>
        </w:rPr>
      </w:pPr>
      <w:r w:rsidRPr="00707839">
        <w:rPr>
          <w:rFonts w:ascii="Calibri" w:hAnsi="Calibri"/>
          <w:sz w:val="20"/>
          <w:szCs w:val="20"/>
        </w:rPr>
        <w:t xml:space="preserve">Dirección de Administración y Finanzas, </w:t>
      </w:r>
    </w:p>
    <w:p w:rsidR="00A47351" w:rsidRPr="00707839" w:rsidRDefault="00A47351" w:rsidP="00A47351">
      <w:pPr>
        <w:pStyle w:val="Prrafodelista"/>
        <w:numPr>
          <w:ilvl w:val="0"/>
          <w:numId w:val="11"/>
        </w:numPr>
        <w:tabs>
          <w:tab w:val="left" w:pos="284"/>
        </w:tabs>
        <w:ind w:left="1985" w:firstLine="0"/>
        <w:jc w:val="both"/>
        <w:rPr>
          <w:rFonts w:ascii="Calibri" w:hAnsi="Calibri"/>
          <w:sz w:val="20"/>
          <w:szCs w:val="20"/>
        </w:rPr>
      </w:pPr>
      <w:r w:rsidRPr="00707839">
        <w:rPr>
          <w:rFonts w:ascii="Calibri" w:hAnsi="Calibri"/>
          <w:sz w:val="20"/>
          <w:szCs w:val="20"/>
        </w:rPr>
        <w:t xml:space="preserve">Dirección Artística, </w:t>
      </w:r>
    </w:p>
    <w:p w:rsidR="00A47351" w:rsidRPr="00707839" w:rsidRDefault="00A47351" w:rsidP="00A47351">
      <w:pPr>
        <w:pStyle w:val="Prrafodelista"/>
        <w:numPr>
          <w:ilvl w:val="0"/>
          <w:numId w:val="11"/>
        </w:numPr>
        <w:tabs>
          <w:tab w:val="left" w:pos="284"/>
        </w:tabs>
        <w:ind w:left="1985" w:firstLine="0"/>
        <w:jc w:val="both"/>
        <w:rPr>
          <w:rFonts w:ascii="Calibri" w:hAnsi="Calibri"/>
          <w:sz w:val="20"/>
          <w:szCs w:val="20"/>
        </w:rPr>
      </w:pPr>
      <w:r w:rsidRPr="00707839">
        <w:rPr>
          <w:rFonts w:ascii="Calibri" w:hAnsi="Calibri"/>
          <w:sz w:val="20"/>
          <w:szCs w:val="20"/>
        </w:rPr>
        <w:t>Dirección de Producción y Operación Artística.</w:t>
      </w:r>
    </w:p>
    <w:p w:rsidR="00A47351" w:rsidRPr="00707839" w:rsidRDefault="00A47351" w:rsidP="00A47351">
      <w:pPr>
        <w:pStyle w:val="Prrafodelista"/>
        <w:numPr>
          <w:ilvl w:val="0"/>
          <w:numId w:val="11"/>
        </w:numPr>
        <w:tabs>
          <w:tab w:val="left" w:pos="284"/>
        </w:tabs>
        <w:ind w:left="1985" w:firstLine="0"/>
        <w:jc w:val="both"/>
        <w:rPr>
          <w:rFonts w:ascii="Calibri" w:hAnsi="Calibri"/>
          <w:sz w:val="20"/>
          <w:szCs w:val="20"/>
        </w:rPr>
      </w:pPr>
      <w:r w:rsidRPr="00707839">
        <w:rPr>
          <w:rFonts w:ascii="Calibri" w:hAnsi="Calibri"/>
          <w:sz w:val="20"/>
          <w:szCs w:val="20"/>
        </w:rPr>
        <w:t xml:space="preserve">Dirección de Comunicación y Medios, </w:t>
      </w:r>
    </w:p>
    <w:p w:rsidR="00A47351" w:rsidRPr="00707839" w:rsidRDefault="00A47351" w:rsidP="00A47351">
      <w:pPr>
        <w:tabs>
          <w:tab w:val="left" w:pos="284"/>
        </w:tabs>
        <w:ind w:left="2127" w:hanging="142"/>
        <w:jc w:val="both"/>
        <w:rPr>
          <w:rFonts w:ascii="Calibri" w:hAnsi="Calibri"/>
          <w:sz w:val="20"/>
          <w:szCs w:val="20"/>
        </w:rPr>
      </w:pPr>
      <w:r w:rsidRPr="00707839">
        <w:rPr>
          <w:rFonts w:ascii="Calibri" w:hAnsi="Calibri"/>
          <w:sz w:val="20"/>
          <w:szCs w:val="20"/>
        </w:rPr>
        <w:t>-  Dirección de Asuntos y Servicios Jurídicos.</w:t>
      </w:r>
    </w:p>
    <w:p w:rsidR="00A47351" w:rsidRPr="00707839" w:rsidRDefault="00A47351" w:rsidP="00A47351">
      <w:pPr>
        <w:tabs>
          <w:tab w:val="left" w:pos="284"/>
        </w:tabs>
        <w:jc w:val="both"/>
        <w:rPr>
          <w:rFonts w:ascii="Calibri" w:hAnsi="Calibri"/>
          <w:sz w:val="20"/>
          <w:szCs w:val="20"/>
        </w:rPr>
      </w:pPr>
      <w:r w:rsidRPr="00707839">
        <w:rPr>
          <w:rFonts w:ascii="Calibri" w:hAnsi="Calibri"/>
          <w:sz w:val="20"/>
          <w:szCs w:val="20"/>
        </w:rPr>
        <w:t>c) De Vigilancia: Secretaría de la Contraloría General,</w:t>
      </w:r>
    </w:p>
    <w:p w:rsidR="00A47351" w:rsidRPr="00707839" w:rsidRDefault="00A47351" w:rsidP="00A47351">
      <w:pPr>
        <w:tabs>
          <w:tab w:val="left" w:pos="284"/>
        </w:tabs>
        <w:jc w:val="both"/>
        <w:rPr>
          <w:rFonts w:ascii="Calibri" w:hAnsi="Calibri"/>
          <w:sz w:val="20"/>
          <w:szCs w:val="20"/>
        </w:rPr>
      </w:pPr>
    </w:p>
    <w:p w:rsidR="00A47351" w:rsidRPr="00707839" w:rsidRDefault="00A47351" w:rsidP="00A47351">
      <w:pPr>
        <w:tabs>
          <w:tab w:val="left" w:pos="284"/>
        </w:tabs>
        <w:jc w:val="both"/>
        <w:rPr>
          <w:rFonts w:ascii="Calibri" w:hAnsi="Calibri"/>
          <w:sz w:val="20"/>
          <w:szCs w:val="20"/>
        </w:rPr>
      </w:pPr>
      <w:r w:rsidRPr="00707839">
        <w:rPr>
          <w:rFonts w:ascii="Calibri" w:hAnsi="Calibri"/>
          <w:sz w:val="20"/>
          <w:szCs w:val="20"/>
        </w:rPr>
        <w:t>El Comité Técnico está conformado de la siguiente manera:</w:t>
      </w:r>
    </w:p>
    <w:p w:rsidR="00A47351" w:rsidRPr="00707839" w:rsidRDefault="00A47351" w:rsidP="00A47351">
      <w:pPr>
        <w:tabs>
          <w:tab w:val="left" w:pos="284"/>
          <w:tab w:val="left" w:pos="567"/>
        </w:tabs>
        <w:ind w:left="142"/>
        <w:jc w:val="both"/>
        <w:rPr>
          <w:rFonts w:ascii="Calibri" w:hAnsi="Calibri"/>
          <w:sz w:val="20"/>
          <w:szCs w:val="20"/>
        </w:rPr>
      </w:pPr>
    </w:p>
    <w:p w:rsidR="00A47351" w:rsidRPr="00707839" w:rsidRDefault="00A47351" w:rsidP="00A47351">
      <w:pPr>
        <w:pStyle w:val="Prrafodelista"/>
        <w:numPr>
          <w:ilvl w:val="0"/>
          <w:numId w:val="2"/>
        </w:numPr>
        <w:tabs>
          <w:tab w:val="left" w:pos="284"/>
          <w:tab w:val="left" w:pos="567"/>
        </w:tabs>
        <w:ind w:left="142" w:firstLine="0"/>
        <w:jc w:val="both"/>
        <w:rPr>
          <w:rFonts w:ascii="Calibri" w:hAnsi="Calibri"/>
          <w:sz w:val="20"/>
          <w:szCs w:val="20"/>
        </w:rPr>
      </w:pPr>
      <w:r w:rsidRPr="00707839">
        <w:rPr>
          <w:rFonts w:ascii="Calibri" w:hAnsi="Calibri"/>
          <w:sz w:val="20"/>
          <w:szCs w:val="20"/>
        </w:rPr>
        <w:t>Un Presidente que es el Gobernador del Estado;</w:t>
      </w:r>
    </w:p>
    <w:p w:rsidR="00A47351" w:rsidRPr="00707839" w:rsidRDefault="00A47351" w:rsidP="00A47351">
      <w:pPr>
        <w:pStyle w:val="Prrafodelista"/>
        <w:numPr>
          <w:ilvl w:val="0"/>
          <w:numId w:val="2"/>
        </w:numPr>
        <w:tabs>
          <w:tab w:val="left" w:pos="284"/>
          <w:tab w:val="left" w:pos="567"/>
        </w:tabs>
        <w:ind w:left="142" w:firstLine="0"/>
        <w:jc w:val="both"/>
        <w:rPr>
          <w:rFonts w:ascii="Calibri" w:hAnsi="Calibri"/>
          <w:sz w:val="20"/>
          <w:szCs w:val="20"/>
        </w:rPr>
      </w:pPr>
      <w:r w:rsidRPr="00707839">
        <w:rPr>
          <w:rFonts w:ascii="Calibri" w:hAnsi="Calibri"/>
          <w:sz w:val="20"/>
          <w:szCs w:val="20"/>
        </w:rPr>
        <w:t>El Secretario General de Gobierno, quien suple las ausencias del Presidente del Comité Técnico;</w:t>
      </w:r>
    </w:p>
    <w:p w:rsidR="00A47351" w:rsidRPr="00707839" w:rsidRDefault="00A47351" w:rsidP="00A47351">
      <w:pPr>
        <w:pStyle w:val="Prrafodelista"/>
        <w:numPr>
          <w:ilvl w:val="0"/>
          <w:numId w:val="2"/>
        </w:numPr>
        <w:tabs>
          <w:tab w:val="left" w:pos="284"/>
          <w:tab w:val="left" w:pos="567"/>
        </w:tabs>
        <w:ind w:left="142" w:firstLine="0"/>
        <w:jc w:val="both"/>
        <w:rPr>
          <w:rFonts w:ascii="Calibri" w:hAnsi="Calibri"/>
          <w:sz w:val="20"/>
          <w:szCs w:val="20"/>
        </w:rPr>
      </w:pPr>
      <w:r w:rsidRPr="00707839">
        <w:rPr>
          <w:rFonts w:ascii="Calibri" w:hAnsi="Calibri"/>
          <w:sz w:val="20"/>
          <w:szCs w:val="20"/>
        </w:rPr>
        <w:t>El Secretario de Administración y Finanzas;</w:t>
      </w:r>
    </w:p>
    <w:p w:rsidR="00A47351" w:rsidRPr="00707839" w:rsidRDefault="00A47351" w:rsidP="00A47351">
      <w:pPr>
        <w:pStyle w:val="Prrafodelista"/>
        <w:numPr>
          <w:ilvl w:val="0"/>
          <w:numId w:val="2"/>
        </w:numPr>
        <w:tabs>
          <w:tab w:val="left" w:pos="284"/>
          <w:tab w:val="left" w:pos="567"/>
        </w:tabs>
        <w:ind w:left="142" w:firstLine="0"/>
        <w:jc w:val="both"/>
        <w:rPr>
          <w:rFonts w:ascii="Calibri" w:hAnsi="Calibri"/>
          <w:sz w:val="20"/>
          <w:szCs w:val="20"/>
        </w:rPr>
      </w:pPr>
      <w:r w:rsidRPr="00707839">
        <w:rPr>
          <w:rFonts w:ascii="Calibri" w:hAnsi="Calibri"/>
          <w:sz w:val="20"/>
          <w:szCs w:val="20"/>
        </w:rPr>
        <w:t>El Secretario de Educación;</w:t>
      </w:r>
    </w:p>
    <w:p w:rsidR="00A47351" w:rsidRPr="00707839" w:rsidRDefault="00A47351" w:rsidP="00A47351">
      <w:pPr>
        <w:pStyle w:val="Prrafodelista"/>
        <w:numPr>
          <w:ilvl w:val="0"/>
          <w:numId w:val="2"/>
        </w:numPr>
        <w:tabs>
          <w:tab w:val="left" w:pos="284"/>
          <w:tab w:val="left" w:pos="567"/>
        </w:tabs>
        <w:ind w:left="142" w:firstLine="0"/>
        <w:jc w:val="both"/>
        <w:rPr>
          <w:rFonts w:ascii="Calibri" w:hAnsi="Calibri"/>
          <w:sz w:val="20"/>
          <w:szCs w:val="20"/>
        </w:rPr>
      </w:pPr>
      <w:r w:rsidRPr="00707839">
        <w:rPr>
          <w:rFonts w:ascii="Calibri" w:hAnsi="Calibri"/>
          <w:sz w:val="20"/>
          <w:szCs w:val="20"/>
        </w:rPr>
        <w:t>El Secretario de Cultura y Artes de Yucatán;</w:t>
      </w:r>
    </w:p>
    <w:p w:rsidR="00A47351" w:rsidRPr="00707839" w:rsidRDefault="00A47351" w:rsidP="00A47351">
      <w:pPr>
        <w:pStyle w:val="Prrafodelista"/>
        <w:numPr>
          <w:ilvl w:val="0"/>
          <w:numId w:val="2"/>
        </w:numPr>
        <w:tabs>
          <w:tab w:val="left" w:pos="284"/>
          <w:tab w:val="left" w:pos="567"/>
        </w:tabs>
        <w:ind w:left="142" w:firstLine="0"/>
        <w:jc w:val="both"/>
        <w:rPr>
          <w:rFonts w:ascii="Calibri" w:hAnsi="Calibri"/>
          <w:sz w:val="20"/>
          <w:szCs w:val="20"/>
        </w:rPr>
      </w:pPr>
      <w:r w:rsidRPr="00707839">
        <w:rPr>
          <w:rFonts w:ascii="Calibri" w:hAnsi="Calibri"/>
          <w:sz w:val="20"/>
          <w:szCs w:val="20"/>
        </w:rPr>
        <w:t>El Presidente del Patronato para la Orquesta Sinfónica de Yucatán A.C.;</w:t>
      </w:r>
    </w:p>
    <w:p w:rsidR="00A47351" w:rsidRPr="00707839" w:rsidRDefault="00A47351" w:rsidP="00A47351">
      <w:pPr>
        <w:pStyle w:val="Prrafodelista"/>
        <w:numPr>
          <w:ilvl w:val="0"/>
          <w:numId w:val="2"/>
        </w:numPr>
        <w:tabs>
          <w:tab w:val="left" w:pos="284"/>
          <w:tab w:val="left" w:pos="567"/>
        </w:tabs>
        <w:ind w:left="142" w:firstLine="0"/>
        <w:jc w:val="both"/>
        <w:rPr>
          <w:rFonts w:ascii="Calibri" w:hAnsi="Calibri"/>
          <w:sz w:val="20"/>
          <w:szCs w:val="20"/>
        </w:rPr>
      </w:pPr>
      <w:r w:rsidRPr="00707839">
        <w:rPr>
          <w:rFonts w:ascii="Calibri" w:hAnsi="Calibri"/>
          <w:sz w:val="20"/>
          <w:szCs w:val="20"/>
        </w:rPr>
        <w:t>El Vicepresidente del Patronato para la Orquesta Sinfónica de Yucatán, A.C.:</w:t>
      </w:r>
    </w:p>
    <w:p w:rsidR="00A47351" w:rsidRPr="00707839" w:rsidRDefault="00A47351" w:rsidP="00A47351">
      <w:pPr>
        <w:pStyle w:val="Prrafodelista"/>
        <w:numPr>
          <w:ilvl w:val="0"/>
          <w:numId w:val="2"/>
        </w:numPr>
        <w:tabs>
          <w:tab w:val="left" w:pos="284"/>
          <w:tab w:val="left" w:pos="567"/>
        </w:tabs>
        <w:ind w:left="142" w:firstLine="0"/>
        <w:jc w:val="both"/>
        <w:rPr>
          <w:rFonts w:ascii="Calibri" w:hAnsi="Calibri"/>
          <w:sz w:val="20"/>
          <w:szCs w:val="20"/>
        </w:rPr>
      </w:pPr>
      <w:r w:rsidRPr="00707839">
        <w:rPr>
          <w:rFonts w:ascii="Calibri" w:hAnsi="Calibri"/>
          <w:sz w:val="20"/>
          <w:szCs w:val="20"/>
        </w:rPr>
        <w:t>Tres representantes de la sociedad civil propuesto por el Patronato para la Orquesta Sinfónica de Yucatán, A.C.</w:t>
      </w:r>
    </w:p>
    <w:p w:rsidR="00A47351" w:rsidRPr="00707839" w:rsidRDefault="00A47351" w:rsidP="00A47351">
      <w:pPr>
        <w:pStyle w:val="Prrafodelista"/>
        <w:tabs>
          <w:tab w:val="left" w:pos="284"/>
          <w:tab w:val="left" w:pos="567"/>
        </w:tabs>
        <w:ind w:left="142"/>
        <w:jc w:val="both"/>
        <w:rPr>
          <w:rFonts w:ascii="Calibri" w:hAnsi="Calibri"/>
          <w:sz w:val="20"/>
          <w:szCs w:val="20"/>
        </w:rPr>
      </w:pPr>
    </w:p>
    <w:p w:rsidR="00A47351" w:rsidRPr="00707839" w:rsidRDefault="00A47351" w:rsidP="00A47351">
      <w:pPr>
        <w:pStyle w:val="Prrafodelista"/>
        <w:tabs>
          <w:tab w:val="left" w:pos="284"/>
          <w:tab w:val="left" w:pos="567"/>
        </w:tabs>
        <w:ind w:left="142"/>
        <w:jc w:val="both"/>
        <w:rPr>
          <w:rFonts w:ascii="Calibri" w:hAnsi="Calibri"/>
          <w:sz w:val="20"/>
          <w:szCs w:val="20"/>
        </w:rPr>
      </w:pPr>
      <w:r w:rsidRPr="00707839">
        <w:rPr>
          <w:rFonts w:ascii="Calibri" w:hAnsi="Calibri"/>
          <w:sz w:val="20"/>
          <w:szCs w:val="20"/>
        </w:rPr>
        <w:t xml:space="preserve">Lo anterior con fundamento al artículo 609 del Reglamento al Código del Código de la Administración Pública del Estado de Yucatán.   </w:t>
      </w:r>
    </w:p>
    <w:p w:rsidR="00A47351" w:rsidRPr="00707839" w:rsidRDefault="00A47351" w:rsidP="00A47351">
      <w:pPr>
        <w:pStyle w:val="Prrafodelista"/>
        <w:tabs>
          <w:tab w:val="left" w:pos="284"/>
          <w:tab w:val="left" w:pos="567"/>
        </w:tabs>
        <w:ind w:left="142"/>
        <w:jc w:val="both"/>
        <w:rPr>
          <w:rFonts w:ascii="Calibri" w:hAnsi="Calibri"/>
          <w:sz w:val="20"/>
          <w:szCs w:val="20"/>
        </w:rPr>
      </w:pPr>
    </w:p>
    <w:p w:rsidR="00A47351" w:rsidRPr="00707839" w:rsidRDefault="00A47351" w:rsidP="00A47351">
      <w:pPr>
        <w:pStyle w:val="Prrafodelista"/>
        <w:numPr>
          <w:ilvl w:val="0"/>
          <w:numId w:val="28"/>
        </w:numPr>
        <w:tabs>
          <w:tab w:val="left" w:pos="426"/>
        </w:tabs>
        <w:ind w:left="0" w:firstLine="0"/>
        <w:rPr>
          <w:rFonts w:ascii="Calibri" w:hAnsi="Calibri"/>
          <w:b/>
          <w:sz w:val="20"/>
          <w:szCs w:val="20"/>
        </w:rPr>
      </w:pPr>
      <w:r w:rsidRPr="00707839">
        <w:rPr>
          <w:rFonts w:ascii="Calibri" w:hAnsi="Calibri"/>
          <w:b/>
          <w:sz w:val="20"/>
          <w:szCs w:val="20"/>
        </w:rPr>
        <w:t>Bases de preparación de los Estados Financieros.</w:t>
      </w:r>
    </w:p>
    <w:p w:rsidR="00A47351" w:rsidRPr="00707839" w:rsidRDefault="00A47351" w:rsidP="00A47351">
      <w:pPr>
        <w:tabs>
          <w:tab w:val="left" w:pos="284"/>
        </w:tabs>
        <w:jc w:val="both"/>
        <w:rPr>
          <w:rFonts w:ascii="Calibri" w:hAnsi="Calibri"/>
          <w:sz w:val="20"/>
          <w:szCs w:val="20"/>
        </w:rPr>
      </w:pPr>
    </w:p>
    <w:p w:rsidR="00A47351" w:rsidRPr="00707839" w:rsidRDefault="00A47351" w:rsidP="00A47351">
      <w:pPr>
        <w:tabs>
          <w:tab w:val="left" w:pos="284"/>
        </w:tabs>
        <w:jc w:val="both"/>
        <w:rPr>
          <w:rFonts w:ascii="Calibri" w:hAnsi="Calibri"/>
          <w:sz w:val="20"/>
          <w:szCs w:val="20"/>
        </w:rPr>
      </w:pPr>
      <w:r w:rsidRPr="00707839">
        <w:rPr>
          <w:rFonts w:ascii="Calibri" w:hAnsi="Calibri"/>
          <w:sz w:val="20"/>
          <w:szCs w:val="20"/>
        </w:rPr>
        <w:t>Los Estados Financieros a partir del ejercicio 2011, son elaborados con base en la Ley General de Contabilidad Gubernamental, las Normas de Información Financiera, emitidas por el Consejo Mexicano para la Investigación y Desarrollo de Normas de Información Financiera A.C. (CINIF) y tomando los lineamientos del Consejo Nacional de Armonización Contable (CONAC).</w:t>
      </w:r>
    </w:p>
    <w:p w:rsidR="00A47351" w:rsidRPr="00707839" w:rsidRDefault="00A47351" w:rsidP="00A47351">
      <w:pPr>
        <w:tabs>
          <w:tab w:val="left" w:pos="284"/>
        </w:tabs>
        <w:jc w:val="both"/>
        <w:rPr>
          <w:rFonts w:ascii="Calibri" w:hAnsi="Calibri"/>
          <w:sz w:val="20"/>
          <w:szCs w:val="20"/>
        </w:rPr>
      </w:pPr>
    </w:p>
    <w:p w:rsidR="00A47351" w:rsidRPr="00707839" w:rsidRDefault="00A47351" w:rsidP="00A47351">
      <w:pPr>
        <w:tabs>
          <w:tab w:val="left" w:pos="284"/>
        </w:tabs>
        <w:jc w:val="both"/>
        <w:rPr>
          <w:rFonts w:ascii="Calibri" w:hAnsi="Calibri"/>
          <w:sz w:val="20"/>
          <w:szCs w:val="20"/>
        </w:rPr>
      </w:pPr>
      <w:r w:rsidRPr="00707839">
        <w:rPr>
          <w:rFonts w:ascii="Calibri" w:hAnsi="Calibri"/>
          <w:sz w:val="20"/>
          <w:szCs w:val="20"/>
        </w:rPr>
        <w:t>De conformidad con el artículo 22 de la Ley General de Contabilidad Gubernamental “… los postulados tienen como objetivo sustentar técnicamente la contabilidad gubernamental, así como organizar la efectiva sistematización que permita la obtención de información veraz, clara y concisa”.</w:t>
      </w:r>
    </w:p>
    <w:p w:rsidR="00A47351" w:rsidRPr="00707839" w:rsidRDefault="00A47351" w:rsidP="00A47351">
      <w:pPr>
        <w:tabs>
          <w:tab w:val="left" w:pos="284"/>
        </w:tabs>
        <w:jc w:val="both"/>
        <w:rPr>
          <w:rFonts w:ascii="Calibri" w:hAnsi="Calibri"/>
          <w:sz w:val="20"/>
          <w:szCs w:val="20"/>
        </w:rPr>
      </w:pPr>
    </w:p>
    <w:p w:rsidR="00A47351" w:rsidRPr="00707839" w:rsidRDefault="00A47351" w:rsidP="00A47351">
      <w:pPr>
        <w:tabs>
          <w:tab w:val="left" w:pos="284"/>
        </w:tabs>
        <w:jc w:val="both"/>
        <w:rPr>
          <w:rFonts w:ascii="Calibri" w:hAnsi="Calibri"/>
          <w:sz w:val="20"/>
          <w:szCs w:val="20"/>
        </w:rPr>
      </w:pPr>
      <w:r w:rsidRPr="00707839">
        <w:rPr>
          <w:rFonts w:ascii="Calibri" w:hAnsi="Calibri"/>
          <w:sz w:val="20"/>
          <w:szCs w:val="20"/>
        </w:rPr>
        <w:lastRenderedPageBreak/>
        <w:t>Postulados básicos de la Contabilidad Gubernamental aprobados por la CONAC:</w:t>
      </w:r>
    </w:p>
    <w:p w:rsidR="00A47351" w:rsidRPr="00707839" w:rsidRDefault="00A47351" w:rsidP="00A47351">
      <w:pPr>
        <w:tabs>
          <w:tab w:val="left" w:pos="284"/>
        </w:tabs>
        <w:jc w:val="both"/>
        <w:rPr>
          <w:rFonts w:ascii="Calibri" w:hAnsi="Calibri"/>
          <w:sz w:val="20"/>
          <w:szCs w:val="20"/>
        </w:rPr>
      </w:pPr>
    </w:p>
    <w:p w:rsidR="00A47351" w:rsidRPr="00707839" w:rsidRDefault="00A47351" w:rsidP="00A47351">
      <w:pPr>
        <w:pStyle w:val="Prrafodelista"/>
        <w:numPr>
          <w:ilvl w:val="0"/>
          <w:numId w:val="4"/>
        </w:numPr>
        <w:tabs>
          <w:tab w:val="left" w:pos="284"/>
        </w:tabs>
        <w:ind w:left="0" w:firstLine="0"/>
        <w:jc w:val="both"/>
        <w:rPr>
          <w:rFonts w:ascii="Calibri" w:hAnsi="Calibri"/>
          <w:sz w:val="20"/>
          <w:szCs w:val="20"/>
        </w:rPr>
      </w:pPr>
      <w:r w:rsidRPr="00707839">
        <w:rPr>
          <w:rFonts w:ascii="Calibri" w:hAnsi="Calibri"/>
          <w:sz w:val="20"/>
          <w:szCs w:val="20"/>
        </w:rPr>
        <w:t>Sustancia Económica.</w:t>
      </w:r>
    </w:p>
    <w:p w:rsidR="00A47351" w:rsidRPr="00707839" w:rsidRDefault="00A47351" w:rsidP="00A47351">
      <w:pPr>
        <w:pStyle w:val="Prrafodelista"/>
        <w:numPr>
          <w:ilvl w:val="0"/>
          <w:numId w:val="4"/>
        </w:numPr>
        <w:tabs>
          <w:tab w:val="left" w:pos="284"/>
        </w:tabs>
        <w:ind w:left="0" w:firstLine="0"/>
        <w:jc w:val="both"/>
        <w:rPr>
          <w:rFonts w:ascii="Calibri" w:hAnsi="Calibri"/>
          <w:sz w:val="20"/>
          <w:szCs w:val="20"/>
        </w:rPr>
      </w:pPr>
      <w:r w:rsidRPr="00707839">
        <w:rPr>
          <w:rFonts w:ascii="Calibri" w:hAnsi="Calibri"/>
          <w:sz w:val="20"/>
          <w:szCs w:val="20"/>
        </w:rPr>
        <w:t>Entes Públicos.</w:t>
      </w:r>
    </w:p>
    <w:p w:rsidR="00A47351" w:rsidRPr="00707839" w:rsidRDefault="00A47351" w:rsidP="00A47351">
      <w:pPr>
        <w:pStyle w:val="Prrafodelista"/>
        <w:numPr>
          <w:ilvl w:val="0"/>
          <w:numId w:val="4"/>
        </w:numPr>
        <w:tabs>
          <w:tab w:val="left" w:pos="284"/>
        </w:tabs>
        <w:ind w:left="0" w:firstLine="0"/>
        <w:jc w:val="both"/>
        <w:rPr>
          <w:rFonts w:ascii="Calibri" w:hAnsi="Calibri"/>
          <w:sz w:val="20"/>
          <w:szCs w:val="20"/>
        </w:rPr>
      </w:pPr>
      <w:r w:rsidRPr="00707839">
        <w:rPr>
          <w:rFonts w:ascii="Calibri" w:hAnsi="Calibri"/>
          <w:sz w:val="20"/>
          <w:szCs w:val="20"/>
        </w:rPr>
        <w:t>Existencia Permanente.</w:t>
      </w:r>
    </w:p>
    <w:p w:rsidR="00A47351" w:rsidRPr="00707839" w:rsidRDefault="00A47351" w:rsidP="00A47351">
      <w:pPr>
        <w:pStyle w:val="Prrafodelista"/>
        <w:numPr>
          <w:ilvl w:val="0"/>
          <w:numId w:val="4"/>
        </w:numPr>
        <w:tabs>
          <w:tab w:val="left" w:pos="284"/>
        </w:tabs>
        <w:ind w:left="0" w:firstLine="0"/>
        <w:jc w:val="both"/>
        <w:rPr>
          <w:rFonts w:ascii="Calibri" w:hAnsi="Calibri"/>
          <w:sz w:val="20"/>
          <w:szCs w:val="20"/>
        </w:rPr>
      </w:pPr>
      <w:r w:rsidRPr="00707839">
        <w:rPr>
          <w:rFonts w:ascii="Calibri" w:hAnsi="Calibri"/>
          <w:sz w:val="20"/>
          <w:szCs w:val="20"/>
        </w:rPr>
        <w:t>Revelación Suficiente.</w:t>
      </w:r>
    </w:p>
    <w:p w:rsidR="00A47351" w:rsidRPr="00707839" w:rsidRDefault="00A47351" w:rsidP="00A47351">
      <w:pPr>
        <w:pStyle w:val="Prrafodelista"/>
        <w:numPr>
          <w:ilvl w:val="0"/>
          <w:numId w:val="4"/>
        </w:numPr>
        <w:tabs>
          <w:tab w:val="left" w:pos="284"/>
        </w:tabs>
        <w:ind w:left="0" w:firstLine="0"/>
        <w:jc w:val="both"/>
        <w:rPr>
          <w:rFonts w:ascii="Calibri" w:hAnsi="Calibri"/>
          <w:sz w:val="20"/>
          <w:szCs w:val="20"/>
        </w:rPr>
      </w:pPr>
      <w:r w:rsidRPr="00707839">
        <w:rPr>
          <w:rFonts w:ascii="Calibri" w:hAnsi="Calibri"/>
          <w:sz w:val="20"/>
          <w:szCs w:val="20"/>
        </w:rPr>
        <w:t>Importancia Relativa.</w:t>
      </w:r>
    </w:p>
    <w:p w:rsidR="00A47351" w:rsidRPr="00707839" w:rsidRDefault="00A47351" w:rsidP="00A47351">
      <w:pPr>
        <w:pStyle w:val="Prrafodelista"/>
        <w:numPr>
          <w:ilvl w:val="0"/>
          <w:numId w:val="4"/>
        </w:numPr>
        <w:tabs>
          <w:tab w:val="left" w:pos="284"/>
        </w:tabs>
        <w:ind w:left="0" w:firstLine="0"/>
        <w:jc w:val="both"/>
        <w:rPr>
          <w:rFonts w:ascii="Calibri" w:hAnsi="Calibri"/>
          <w:sz w:val="20"/>
          <w:szCs w:val="20"/>
        </w:rPr>
      </w:pPr>
      <w:r w:rsidRPr="00707839">
        <w:rPr>
          <w:rFonts w:ascii="Calibri" w:hAnsi="Calibri"/>
          <w:sz w:val="20"/>
          <w:szCs w:val="20"/>
        </w:rPr>
        <w:t>Registro e Integración Presupuestaria.</w:t>
      </w:r>
    </w:p>
    <w:p w:rsidR="00A47351" w:rsidRPr="00707839" w:rsidRDefault="00A47351" w:rsidP="00A47351">
      <w:pPr>
        <w:pStyle w:val="Prrafodelista"/>
        <w:numPr>
          <w:ilvl w:val="0"/>
          <w:numId w:val="4"/>
        </w:numPr>
        <w:tabs>
          <w:tab w:val="left" w:pos="284"/>
        </w:tabs>
        <w:ind w:left="0" w:firstLine="0"/>
        <w:jc w:val="both"/>
        <w:rPr>
          <w:rFonts w:ascii="Calibri" w:hAnsi="Calibri"/>
          <w:sz w:val="20"/>
          <w:szCs w:val="20"/>
        </w:rPr>
      </w:pPr>
      <w:r w:rsidRPr="00707839">
        <w:rPr>
          <w:rFonts w:ascii="Calibri" w:hAnsi="Calibri"/>
          <w:sz w:val="20"/>
          <w:szCs w:val="20"/>
        </w:rPr>
        <w:t>Consolidación de la Información Financiera.</w:t>
      </w:r>
    </w:p>
    <w:p w:rsidR="00A47351" w:rsidRPr="00707839" w:rsidRDefault="00A47351" w:rsidP="00A47351">
      <w:pPr>
        <w:pStyle w:val="Prrafodelista"/>
        <w:numPr>
          <w:ilvl w:val="0"/>
          <w:numId w:val="4"/>
        </w:numPr>
        <w:tabs>
          <w:tab w:val="left" w:pos="284"/>
        </w:tabs>
        <w:ind w:left="0" w:firstLine="0"/>
        <w:jc w:val="both"/>
        <w:rPr>
          <w:rFonts w:ascii="Calibri" w:hAnsi="Calibri"/>
          <w:sz w:val="20"/>
          <w:szCs w:val="20"/>
        </w:rPr>
      </w:pPr>
      <w:r w:rsidRPr="00707839">
        <w:rPr>
          <w:rFonts w:ascii="Calibri" w:hAnsi="Calibri"/>
          <w:sz w:val="20"/>
          <w:szCs w:val="20"/>
        </w:rPr>
        <w:t>Devengo Contable.</w:t>
      </w:r>
    </w:p>
    <w:p w:rsidR="00A47351" w:rsidRPr="00707839" w:rsidRDefault="00A47351" w:rsidP="00A47351">
      <w:pPr>
        <w:pStyle w:val="Prrafodelista"/>
        <w:numPr>
          <w:ilvl w:val="0"/>
          <w:numId w:val="4"/>
        </w:numPr>
        <w:tabs>
          <w:tab w:val="left" w:pos="284"/>
        </w:tabs>
        <w:ind w:left="0" w:firstLine="0"/>
        <w:jc w:val="both"/>
        <w:rPr>
          <w:rFonts w:ascii="Calibri" w:hAnsi="Calibri"/>
          <w:sz w:val="20"/>
          <w:szCs w:val="20"/>
        </w:rPr>
      </w:pPr>
      <w:r w:rsidRPr="00707839">
        <w:rPr>
          <w:rFonts w:ascii="Calibri" w:hAnsi="Calibri"/>
          <w:sz w:val="20"/>
          <w:szCs w:val="20"/>
        </w:rPr>
        <w:t>Valuación.</w:t>
      </w:r>
    </w:p>
    <w:p w:rsidR="00A47351" w:rsidRPr="00707839" w:rsidRDefault="00A47351" w:rsidP="00A47351">
      <w:pPr>
        <w:pStyle w:val="Prrafodelista"/>
        <w:numPr>
          <w:ilvl w:val="0"/>
          <w:numId w:val="4"/>
        </w:numPr>
        <w:tabs>
          <w:tab w:val="left" w:pos="284"/>
        </w:tabs>
        <w:ind w:left="0" w:firstLine="0"/>
        <w:jc w:val="both"/>
        <w:rPr>
          <w:rFonts w:ascii="Calibri" w:hAnsi="Calibri"/>
          <w:sz w:val="20"/>
          <w:szCs w:val="20"/>
        </w:rPr>
      </w:pPr>
      <w:r w:rsidRPr="00707839">
        <w:rPr>
          <w:rFonts w:ascii="Calibri" w:hAnsi="Calibri"/>
          <w:sz w:val="20"/>
          <w:szCs w:val="20"/>
        </w:rPr>
        <w:t>Dualidad Económica.</w:t>
      </w:r>
    </w:p>
    <w:p w:rsidR="00A47351" w:rsidRPr="00707839" w:rsidRDefault="00A47351" w:rsidP="00A47351">
      <w:pPr>
        <w:pStyle w:val="Prrafodelista"/>
        <w:numPr>
          <w:ilvl w:val="0"/>
          <w:numId w:val="4"/>
        </w:numPr>
        <w:tabs>
          <w:tab w:val="left" w:pos="284"/>
        </w:tabs>
        <w:ind w:left="0" w:firstLine="0"/>
        <w:jc w:val="both"/>
        <w:rPr>
          <w:rFonts w:ascii="Calibri" w:hAnsi="Calibri"/>
          <w:sz w:val="20"/>
          <w:szCs w:val="20"/>
        </w:rPr>
      </w:pPr>
      <w:r w:rsidRPr="00707839">
        <w:rPr>
          <w:rFonts w:ascii="Calibri" w:hAnsi="Calibri"/>
          <w:sz w:val="20"/>
          <w:szCs w:val="20"/>
        </w:rPr>
        <w:t>Consistencia.</w:t>
      </w:r>
    </w:p>
    <w:p w:rsidR="00A47351" w:rsidRPr="00707839" w:rsidRDefault="00A47351" w:rsidP="00A47351">
      <w:pPr>
        <w:pStyle w:val="Prrafodelista"/>
        <w:tabs>
          <w:tab w:val="left" w:pos="284"/>
        </w:tabs>
        <w:ind w:left="0"/>
        <w:jc w:val="both"/>
        <w:rPr>
          <w:rFonts w:ascii="Calibri" w:hAnsi="Calibri"/>
          <w:sz w:val="20"/>
          <w:szCs w:val="20"/>
        </w:rPr>
      </w:pPr>
    </w:p>
    <w:p w:rsidR="00A47351" w:rsidRPr="00707839" w:rsidRDefault="00A47351" w:rsidP="00A47351">
      <w:pPr>
        <w:pStyle w:val="Prrafodelista"/>
        <w:tabs>
          <w:tab w:val="left" w:pos="284"/>
        </w:tabs>
        <w:ind w:left="0"/>
        <w:jc w:val="both"/>
        <w:rPr>
          <w:rFonts w:ascii="Calibri" w:hAnsi="Calibri"/>
          <w:sz w:val="20"/>
          <w:szCs w:val="20"/>
        </w:rPr>
      </w:pPr>
      <w:r w:rsidRPr="00707839">
        <w:rPr>
          <w:rFonts w:ascii="Calibri" w:hAnsi="Calibri"/>
          <w:sz w:val="20"/>
          <w:szCs w:val="20"/>
        </w:rPr>
        <w:t>En forma supletoria a las Normas de la Ley General de Contabilidad Gubernamental y a las emitidas por la CONAC se aplicarán las siguientes:</w:t>
      </w:r>
    </w:p>
    <w:p w:rsidR="00A47351" w:rsidRPr="00707839" w:rsidRDefault="00A47351" w:rsidP="00A47351">
      <w:pPr>
        <w:pStyle w:val="Prrafodelista"/>
        <w:tabs>
          <w:tab w:val="left" w:pos="284"/>
        </w:tabs>
        <w:ind w:left="0"/>
        <w:jc w:val="both"/>
        <w:rPr>
          <w:rFonts w:ascii="Calibri" w:hAnsi="Calibri"/>
          <w:sz w:val="20"/>
          <w:szCs w:val="20"/>
        </w:rPr>
      </w:pPr>
    </w:p>
    <w:p w:rsidR="00A47351" w:rsidRPr="00707839" w:rsidRDefault="00A47351" w:rsidP="00A47351">
      <w:pPr>
        <w:pStyle w:val="Prrafodelista"/>
        <w:numPr>
          <w:ilvl w:val="0"/>
          <w:numId w:val="5"/>
        </w:numPr>
        <w:tabs>
          <w:tab w:val="left" w:pos="284"/>
        </w:tabs>
        <w:ind w:left="284" w:hanging="284"/>
        <w:jc w:val="both"/>
        <w:rPr>
          <w:rFonts w:ascii="Calibri" w:hAnsi="Calibri"/>
          <w:sz w:val="20"/>
          <w:szCs w:val="20"/>
        </w:rPr>
      </w:pPr>
      <w:r w:rsidRPr="00707839">
        <w:rPr>
          <w:rFonts w:ascii="Calibri" w:hAnsi="Calibri"/>
          <w:sz w:val="20"/>
          <w:szCs w:val="20"/>
        </w:rPr>
        <w:t>Normatividad emitidas por las unidades administrativas o instancias competentes en materia de Contabilidad Gubernamental.</w:t>
      </w:r>
    </w:p>
    <w:p w:rsidR="00A47351" w:rsidRPr="00707839" w:rsidRDefault="00A47351" w:rsidP="00A47351">
      <w:pPr>
        <w:pStyle w:val="Prrafodelista"/>
        <w:numPr>
          <w:ilvl w:val="0"/>
          <w:numId w:val="5"/>
        </w:numPr>
        <w:tabs>
          <w:tab w:val="left" w:pos="284"/>
        </w:tabs>
        <w:ind w:left="284" w:hanging="284"/>
        <w:jc w:val="both"/>
        <w:rPr>
          <w:rFonts w:ascii="Calibri" w:hAnsi="Calibri"/>
          <w:sz w:val="20"/>
          <w:szCs w:val="20"/>
        </w:rPr>
      </w:pPr>
      <w:r w:rsidRPr="00707839">
        <w:rPr>
          <w:rFonts w:ascii="Calibri" w:hAnsi="Calibri"/>
          <w:sz w:val="20"/>
          <w:szCs w:val="20"/>
        </w:rPr>
        <w:t>Las Normas Internacionales de Contabilidad para el sector público (NICSP) emitidas por la Junta de Normas Internacionales de Contabilidad del Sector Público.</w:t>
      </w:r>
    </w:p>
    <w:p w:rsidR="00A47351" w:rsidRPr="00707839" w:rsidRDefault="00A47351" w:rsidP="00A47351">
      <w:pPr>
        <w:pStyle w:val="Prrafodelista"/>
        <w:numPr>
          <w:ilvl w:val="0"/>
          <w:numId w:val="5"/>
        </w:numPr>
        <w:tabs>
          <w:tab w:val="left" w:pos="284"/>
        </w:tabs>
        <w:ind w:left="284" w:hanging="284"/>
        <w:jc w:val="both"/>
        <w:rPr>
          <w:rFonts w:ascii="Calibri" w:hAnsi="Calibri"/>
          <w:sz w:val="20"/>
          <w:szCs w:val="20"/>
        </w:rPr>
      </w:pPr>
      <w:r w:rsidRPr="00707839">
        <w:rPr>
          <w:rFonts w:ascii="Calibri" w:hAnsi="Calibri"/>
          <w:sz w:val="20"/>
          <w:szCs w:val="20"/>
        </w:rPr>
        <w:t>Las Normas de Información Financiera del Consejo Mexicano para la Investigación y Desarrollo de Normas de Información Financiera A.C. (CINIF).</w:t>
      </w:r>
    </w:p>
    <w:p w:rsidR="00A47351" w:rsidRPr="00707839" w:rsidRDefault="00A47351" w:rsidP="00A47351">
      <w:pPr>
        <w:tabs>
          <w:tab w:val="left" w:pos="284"/>
        </w:tabs>
        <w:jc w:val="both"/>
        <w:rPr>
          <w:rFonts w:ascii="Calibri" w:hAnsi="Calibri"/>
          <w:sz w:val="20"/>
          <w:szCs w:val="20"/>
        </w:rPr>
      </w:pPr>
    </w:p>
    <w:p w:rsidR="00A47351" w:rsidRPr="00707839" w:rsidRDefault="00A47351" w:rsidP="00A47351">
      <w:pPr>
        <w:pStyle w:val="Prrafodelista"/>
        <w:numPr>
          <w:ilvl w:val="0"/>
          <w:numId w:val="28"/>
        </w:numPr>
        <w:tabs>
          <w:tab w:val="left" w:pos="426"/>
        </w:tabs>
        <w:ind w:left="0" w:firstLine="0"/>
        <w:rPr>
          <w:rFonts w:ascii="Calibri" w:hAnsi="Calibri"/>
          <w:b/>
          <w:sz w:val="20"/>
          <w:szCs w:val="20"/>
        </w:rPr>
      </w:pPr>
      <w:r w:rsidRPr="00707839">
        <w:rPr>
          <w:rFonts w:ascii="Calibri" w:hAnsi="Calibri"/>
          <w:b/>
          <w:sz w:val="20"/>
          <w:szCs w:val="20"/>
        </w:rPr>
        <w:t>Políticas Contables Significativas.</w:t>
      </w:r>
    </w:p>
    <w:p w:rsidR="00A47351" w:rsidRPr="00707839" w:rsidRDefault="00A47351" w:rsidP="00A47351">
      <w:pPr>
        <w:tabs>
          <w:tab w:val="left" w:pos="284"/>
        </w:tabs>
        <w:jc w:val="both"/>
        <w:rPr>
          <w:rFonts w:ascii="Calibri" w:hAnsi="Calibri"/>
          <w:sz w:val="20"/>
          <w:szCs w:val="20"/>
        </w:rPr>
      </w:pPr>
    </w:p>
    <w:p w:rsidR="00A47351" w:rsidRPr="00707839" w:rsidRDefault="00A47351" w:rsidP="00A47351">
      <w:pPr>
        <w:tabs>
          <w:tab w:val="left" w:pos="284"/>
        </w:tabs>
        <w:jc w:val="both"/>
        <w:rPr>
          <w:rFonts w:ascii="Calibri" w:hAnsi="Calibri"/>
          <w:sz w:val="20"/>
          <w:szCs w:val="20"/>
        </w:rPr>
      </w:pPr>
      <w:r w:rsidRPr="00707839">
        <w:rPr>
          <w:rFonts w:ascii="Calibri" w:hAnsi="Calibri"/>
          <w:sz w:val="20"/>
          <w:szCs w:val="20"/>
        </w:rPr>
        <w:t>La información es preparada con base a la Ley General de Contabilidad Gubernamental, que a través del Consejo Nacional de Armonización Contable (CONAC), emite las normas contables y lineamientos para la generación de la información financiera que aplica a los entes públicos.</w:t>
      </w:r>
    </w:p>
    <w:p w:rsidR="00A47351" w:rsidRPr="00707839" w:rsidRDefault="00A47351" w:rsidP="00A47351">
      <w:pPr>
        <w:tabs>
          <w:tab w:val="left" w:pos="284"/>
        </w:tabs>
        <w:jc w:val="both"/>
        <w:rPr>
          <w:rFonts w:ascii="Calibri" w:hAnsi="Calibri"/>
          <w:sz w:val="20"/>
          <w:szCs w:val="20"/>
        </w:rPr>
      </w:pPr>
    </w:p>
    <w:p w:rsidR="00A47351" w:rsidRPr="00707839" w:rsidRDefault="00A47351" w:rsidP="00A47351">
      <w:pPr>
        <w:tabs>
          <w:tab w:val="left" w:pos="284"/>
        </w:tabs>
        <w:jc w:val="both"/>
        <w:rPr>
          <w:rFonts w:ascii="Calibri" w:hAnsi="Calibri"/>
          <w:sz w:val="20"/>
          <w:szCs w:val="20"/>
        </w:rPr>
      </w:pPr>
      <w:r w:rsidRPr="00707839">
        <w:rPr>
          <w:rFonts w:ascii="Calibri" w:hAnsi="Calibri"/>
          <w:sz w:val="20"/>
          <w:szCs w:val="20"/>
        </w:rPr>
        <w:t>En el mes de Enero de 2015, el FIGAROSY implemento el software denominado “</w:t>
      </w:r>
      <w:proofErr w:type="spellStart"/>
      <w:r w:rsidRPr="00707839">
        <w:rPr>
          <w:rFonts w:ascii="Calibri" w:hAnsi="Calibri"/>
          <w:sz w:val="20"/>
          <w:szCs w:val="20"/>
        </w:rPr>
        <w:t>Saacg</w:t>
      </w:r>
      <w:proofErr w:type="gramStart"/>
      <w:r w:rsidRPr="00707839">
        <w:rPr>
          <w:rFonts w:ascii="Calibri" w:hAnsi="Calibri"/>
          <w:sz w:val="20"/>
          <w:szCs w:val="20"/>
        </w:rPr>
        <w:t>,net</w:t>
      </w:r>
      <w:proofErr w:type="spellEnd"/>
      <w:proofErr w:type="gramEnd"/>
      <w:r w:rsidRPr="00707839">
        <w:rPr>
          <w:rFonts w:ascii="Calibri" w:hAnsi="Calibri"/>
          <w:sz w:val="20"/>
          <w:szCs w:val="20"/>
        </w:rPr>
        <w:t xml:space="preserve">” que es desarrollado por el Instituto para el Desarrollo Técnico de las Hacienda Públicas, para el registrar las transacciones que identifican los momentos contables de las partidas de ingresos y egresos, conforme a lo establecido por la Ley General de Contabilidad Gubernamental. </w:t>
      </w:r>
    </w:p>
    <w:p w:rsidR="00A47351" w:rsidRPr="00707839" w:rsidRDefault="00A47351" w:rsidP="00A47351">
      <w:pPr>
        <w:tabs>
          <w:tab w:val="left" w:pos="284"/>
        </w:tabs>
        <w:jc w:val="both"/>
        <w:rPr>
          <w:rFonts w:ascii="Calibri" w:hAnsi="Calibri"/>
          <w:sz w:val="20"/>
          <w:szCs w:val="20"/>
        </w:rPr>
      </w:pPr>
    </w:p>
    <w:p w:rsidR="00A47351" w:rsidRPr="00707839" w:rsidRDefault="00A47351" w:rsidP="00A47351">
      <w:pPr>
        <w:tabs>
          <w:tab w:val="left" w:pos="284"/>
        </w:tabs>
        <w:jc w:val="both"/>
        <w:rPr>
          <w:rFonts w:ascii="Calibri" w:hAnsi="Calibri"/>
          <w:sz w:val="20"/>
          <w:szCs w:val="20"/>
        </w:rPr>
      </w:pPr>
    </w:p>
    <w:p w:rsidR="00A47351" w:rsidRPr="00707839" w:rsidRDefault="00A47351" w:rsidP="00A47351">
      <w:pPr>
        <w:tabs>
          <w:tab w:val="left" w:pos="284"/>
        </w:tabs>
        <w:jc w:val="both"/>
        <w:rPr>
          <w:rFonts w:ascii="Calibri" w:hAnsi="Calibri"/>
          <w:sz w:val="20"/>
          <w:szCs w:val="20"/>
        </w:rPr>
      </w:pPr>
      <w:r w:rsidRPr="00707839">
        <w:rPr>
          <w:rFonts w:ascii="Calibri" w:hAnsi="Calibri"/>
          <w:sz w:val="20"/>
          <w:szCs w:val="20"/>
        </w:rPr>
        <w:t xml:space="preserve">Las principales políticas contables seguidas por el FIGAROSY, son las siguientes: </w:t>
      </w:r>
    </w:p>
    <w:p w:rsidR="00A47351" w:rsidRPr="00707839" w:rsidRDefault="00A47351" w:rsidP="00A47351">
      <w:pPr>
        <w:tabs>
          <w:tab w:val="left" w:pos="284"/>
        </w:tabs>
        <w:jc w:val="both"/>
        <w:rPr>
          <w:rFonts w:ascii="Calibri" w:hAnsi="Calibri"/>
          <w:sz w:val="20"/>
          <w:szCs w:val="20"/>
        </w:rPr>
      </w:pPr>
    </w:p>
    <w:p w:rsidR="00A47351" w:rsidRPr="00707839" w:rsidRDefault="00A47351" w:rsidP="00A47351">
      <w:pPr>
        <w:pStyle w:val="Prrafodelista"/>
        <w:numPr>
          <w:ilvl w:val="0"/>
          <w:numId w:val="6"/>
        </w:numPr>
        <w:tabs>
          <w:tab w:val="left" w:pos="284"/>
        </w:tabs>
        <w:ind w:left="284" w:hanging="284"/>
        <w:jc w:val="both"/>
        <w:rPr>
          <w:rFonts w:ascii="Calibri" w:hAnsi="Calibri"/>
          <w:sz w:val="20"/>
          <w:szCs w:val="20"/>
        </w:rPr>
      </w:pPr>
      <w:r w:rsidRPr="00707839">
        <w:rPr>
          <w:rFonts w:ascii="Calibri" w:hAnsi="Calibri"/>
          <w:sz w:val="20"/>
          <w:szCs w:val="20"/>
        </w:rPr>
        <w:t>Efectivo y equivalente de efectivo. Consisten principalmente es depósitos bancarios en cuentas de cheques e inversiones en valores a corto plazo, de gran liquidez, fácilmente de convertibles en efectivo y sujetos a riesgos poco significativos a cambio de valor. Los intereses devengados de las inversiones temporales se registran conforme se cobran. El efectivo se presenta a valor nominal.</w:t>
      </w:r>
    </w:p>
    <w:p w:rsidR="00A47351" w:rsidRPr="00707839" w:rsidRDefault="00A47351" w:rsidP="00A47351">
      <w:pPr>
        <w:pStyle w:val="Prrafodelista"/>
        <w:tabs>
          <w:tab w:val="left" w:pos="284"/>
        </w:tabs>
        <w:ind w:left="284"/>
        <w:jc w:val="both"/>
        <w:rPr>
          <w:rFonts w:ascii="Calibri" w:hAnsi="Calibri"/>
          <w:sz w:val="20"/>
          <w:szCs w:val="20"/>
        </w:rPr>
      </w:pPr>
    </w:p>
    <w:p w:rsidR="00A47351" w:rsidRPr="00707839" w:rsidRDefault="00A47351" w:rsidP="00A47351">
      <w:pPr>
        <w:pStyle w:val="Prrafodelista"/>
        <w:numPr>
          <w:ilvl w:val="0"/>
          <w:numId w:val="6"/>
        </w:numPr>
        <w:tabs>
          <w:tab w:val="left" w:pos="284"/>
        </w:tabs>
        <w:ind w:left="284" w:hanging="284"/>
        <w:jc w:val="both"/>
        <w:rPr>
          <w:rFonts w:ascii="Calibri" w:hAnsi="Calibri"/>
          <w:sz w:val="20"/>
          <w:szCs w:val="20"/>
        </w:rPr>
      </w:pPr>
      <w:r w:rsidRPr="00707839">
        <w:rPr>
          <w:rFonts w:ascii="Calibri" w:hAnsi="Calibri"/>
          <w:sz w:val="20"/>
          <w:szCs w:val="20"/>
        </w:rPr>
        <w:t>Cuentas por cobrar. El registro de las cuentas por cobrar se hace en el momento de devengarse el ingreso y expedirse el comprobante correspondiente, a un plazo menor o igual a doce meses.</w:t>
      </w:r>
    </w:p>
    <w:p w:rsidR="00A47351" w:rsidRPr="00707839" w:rsidRDefault="00A47351" w:rsidP="00A47351">
      <w:pPr>
        <w:pStyle w:val="Prrafodelista"/>
        <w:rPr>
          <w:rFonts w:ascii="Calibri" w:hAnsi="Calibri"/>
          <w:sz w:val="20"/>
          <w:szCs w:val="20"/>
        </w:rPr>
      </w:pPr>
    </w:p>
    <w:p w:rsidR="00A47351" w:rsidRPr="00707839" w:rsidRDefault="00A47351" w:rsidP="00A47351">
      <w:pPr>
        <w:pStyle w:val="Prrafodelista"/>
        <w:numPr>
          <w:ilvl w:val="0"/>
          <w:numId w:val="6"/>
        </w:numPr>
        <w:tabs>
          <w:tab w:val="left" w:pos="284"/>
        </w:tabs>
        <w:ind w:left="284" w:hanging="284"/>
        <w:jc w:val="both"/>
        <w:rPr>
          <w:rFonts w:ascii="Calibri" w:hAnsi="Calibri"/>
          <w:sz w:val="20"/>
          <w:szCs w:val="20"/>
        </w:rPr>
      </w:pPr>
      <w:r w:rsidRPr="00707839">
        <w:rPr>
          <w:rFonts w:ascii="Calibri" w:hAnsi="Calibri"/>
          <w:sz w:val="20"/>
          <w:szCs w:val="20"/>
        </w:rPr>
        <w:t>Estimación para cuentas incobrables. Se registrarán las cuentas por cobrar aquellas con características de incobrabilidad de las cuales deberán ser menores a doce meses, afectando a resultados del ejercicio que se aplique.</w:t>
      </w:r>
    </w:p>
    <w:p w:rsidR="00A47351" w:rsidRPr="00707839" w:rsidRDefault="00A47351" w:rsidP="00A47351">
      <w:pPr>
        <w:pStyle w:val="Prrafodelista"/>
        <w:tabs>
          <w:tab w:val="left" w:pos="284"/>
        </w:tabs>
        <w:ind w:left="284"/>
        <w:jc w:val="both"/>
        <w:rPr>
          <w:rFonts w:ascii="Calibri" w:hAnsi="Calibri"/>
          <w:sz w:val="20"/>
          <w:szCs w:val="20"/>
        </w:rPr>
      </w:pPr>
    </w:p>
    <w:p w:rsidR="00A47351" w:rsidRPr="00707839" w:rsidRDefault="00A47351" w:rsidP="00A47351">
      <w:pPr>
        <w:pStyle w:val="Prrafodelista"/>
        <w:numPr>
          <w:ilvl w:val="0"/>
          <w:numId w:val="6"/>
        </w:numPr>
        <w:tabs>
          <w:tab w:val="left" w:pos="284"/>
        </w:tabs>
        <w:ind w:left="284" w:hanging="284"/>
        <w:jc w:val="both"/>
        <w:rPr>
          <w:rFonts w:ascii="Calibri" w:hAnsi="Calibri"/>
          <w:sz w:val="20"/>
          <w:szCs w:val="20"/>
        </w:rPr>
      </w:pPr>
      <w:r w:rsidRPr="00707839">
        <w:rPr>
          <w:rFonts w:ascii="Calibri" w:hAnsi="Calibri"/>
          <w:sz w:val="20"/>
          <w:szCs w:val="20"/>
        </w:rPr>
        <w:t>Almacén. Las mercancías se registran al costo de adquisición y el método de costeo utilizado para el almacén es el de últimas entradas primeras salidas (UEPS).</w:t>
      </w:r>
    </w:p>
    <w:p w:rsidR="00A47351" w:rsidRPr="00707839" w:rsidRDefault="00A47351" w:rsidP="00A47351">
      <w:pPr>
        <w:tabs>
          <w:tab w:val="left" w:pos="284"/>
        </w:tabs>
        <w:jc w:val="both"/>
        <w:rPr>
          <w:rFonts w:ascii="Calibri" w:hAnsi="Calibri"/>
          <w:sz w:val="20"/>
          <w:szCs w:val="20"/>
        </w:rPr>
      </w:pPr>
    </w:p>
    <w:p w:rsidR="00A47351" w:rsidRPr="00707839" w:rsidRDefault="00A47351" w:rsidP="00A47351">
      <w:pPr>
        <w:pStyle w:val="Prrafodelista"/>
        <w:numPr>
          <w:ilvl w:val="0"/>
          <w:numId w:val="6"/>
        </w:numPr>
        <w:tabs>
          <w:tab w:val="left" w:pos="284"/>
        </w:tabs>
        <w:ind w:left="284" w:hanging="284"/>
        <w:jc w:val="both"/>
        <w:rPr>
          <w:rFonts w:ascii="Calibri" w:hAnsi="Calibri"/>
          <w:sz w:val="20"/>
          <w:szCs w:val="20"/>
        </w:rPr>
      </w:pPr>
      <w:r w:rsidRPr="00707839">
        <w:rPr>
          <w:rFonts w:ascii="Calibri" w:hAnsi="Calibri"/>
          <w:sz w:val="20"/>
          <w:szCs w:val="20"/>
        </w:rPr>
        <w:t>Anticipos a corto plazo. Estas partidas se valúan a su valor pactado originalmente del derecho exigible a un plazo menor o igual a doce meses.</w:t>
      </w:r>
    </w:p>
    <w:p w:rsidR="00A47351" w:rsidRPr="00707839" w:rsidRDefault="00A47351" w:rsidP="00A47351">
      <w:pPr>
        <w:tabs>
          <w:tab w:val="left" w:pos="284"/>
        </w:tabs>
        <w:jc w:val="both"/>
        <w:rPr>
          <w:rFonts w:ascii="Calibri" w:hAnsi="Calibri"/>
          <w:sz w:val="20"/>
          <w:szCs w:val="20"/>
        </w:rPr>
      </w:pPr>
    </w:p>
    <w:p w:rsidR="00A47351" w:rsidRPr="00707839" w:rsidRDefault="00A47351" w:rsidP="00A47351">
      <w:pPr>
        <w:pStyle w:val="Prrafodelista"/>
        <w:numPr>
          <w:ilvl w:val="0"/>
          <w:numId w:val="6"/>
        </w:numPr>
        <w:tabs>
          <w:tab w:val="left" w:pos="284"/>
        </w:tabs>
        <w:ind w:left="284" w:hanging="284"/>
        <w:jc w:val="both"/>
        <w:rPr>
          <w:rFonts w:ascii="Calibri" w:hAnsi="Calibri"/>
          <w:sz w:val="20"/>
          <w:szCs w:val="20"/>
        </w:rPr>
      </w:pPr>
      <w:r w:rsidRPr="00707839">
        <w:rPr>
          <w:rFonts w:ascii="Calibri" w:hAnsi="Calibri"/>
          <w:sz w:val="20"/>
          <w:szCs w:val="20"/>
        </w:rPr>
        <w:t xml:space="preserve">Bienes muebles e inmuebles. Se registran al valor de adquisición y sea mayor a treinta y cinco días de salario mínimo vigente en el Distrito Federal. Los bienes muebles e intangibles que se adquieran a un costo menor de treinta y cinco días de salario mínimo vigente en el Distrito Federal se registra contablemente como un gasto, conforme al Acuerdo por el que se emiten las Reglas Específicas del Registro y Valoración del Patrimonio, publicado el 10 de Marzo de 2012 en el Diario Oficial del Gobierno del Estado de Yucatán.     </w:t>
      </w:r>
    </w:p>
    <w:p w:rsidR="00A47351" w:rsidRPr="00707839" w:rsidRDefault="00A47351" w:rsidP="00A47351">
      <w:pPr>
        <w:tabs>
          <w:tab w:val="left" w:pos="284"/>
        </w:tabs>
        <w:jc w:val="both"/>
        <w:rPr>
          <w:rFonts w:ascii="Calibri" w:hAnsi="Calibri"/>
          <w:sz w:val="20"/>
          <w:szCs w:val="20"/>
        </w:rPr>
      </w:pPr>
    </w:p>
    <w:p w:rsidR="00A47351" w:rsidRPr="00707839" w:rsidRDefault="00A47351" w:rsidP="00A47351">
      <w:pPr>
        <w:pStyle w:val="Prrafodelista"/>
        <w:numPr>
          <w:ilvl w:val="0"/>
          <w:numId w:val="6"/>
        </w:numPr>
        <w:tabs>
          <w:tab w:val="left" w:pos="284"/>
        </w:tabs>
        <w:ind w:left="284" w:hanging="284"/>
        <w:jc w:val="both"/>
        <w:rPr>
          <w:rFonts w:ascii="Calibri" w:hAnsi="Calibri"/>
          <w:sz w:val="20"/>
          <w:szCs w:val="20"/>
        </w:rPr>
      </w:pPr>
      <w:r w:rsidRPr="00707839">
        <w:rPr>
          <w:rFonts w:ascii="Calibri" w:hAnsi="Calibri"/>
          <w:sz w:val="20"/>
          <w:szCs w:val="20"/>
        </w:rPr>
        <w:t>Depreciaciones y amortizaciones. El monto de la depreciación como la amortización se calculará considerando el costo de adquisición del activo depreciable o amortizable, menos el valor de desecho, entre los años correspondientes a su vida útil o su vida económica; registrándose en los gastos del período, con el objeto de conocer el gasto patrimonial, por el uso que se está dando el activo, lo cual redundará en una estimación adecuada de la utilidad en un ente público lucrativo o del costo de operación en un ente público con fines exclusivamente gubernamentales o sin fines de lucro, y en una cuenta complementaría de activo como depreciación o amortización acumulada, a efecto de poder determinar el valor neto o el monto por depreciar o amortizar restante.</w:t>
      </w:r>
    </w:p>
    <w:p w:rsidR="00A47351" w:rsidRPr="00707839" w:rsidRDefault="00A47351" w:rsidP="00A47351">
      <w:pPr>
        <w:pStyle w:val="Prrafodelista"/>
        <w:tabs>
          <w:tab w:val="left" w:pos="284"/>
        </w:tabs>
        <w:ind w:left="284"/>
        <w:jc w:val="both"/>
        <w:rPr>
          <w:rFonts w:ascii="Calibri" w:hAnsi="Calibri"/>
          <w:sz w:val="20"/>
          <w:szCs w:val="20"/>
        </w:rPr>
      </w:pPr>
    </w:p>
    <w:p w:rsidR="00A47351" w:rsidRPr="00707839" w:rsidRDefault="00A47351" w:rsidP="00A47351">
      <w:pPr>
        <w:pStyle w:val="Prrafodelista"/>
        <w:numPr>
          <w:ilvl w:val="0"/>
          <w:numId w:val="6"/>
        </w:numPr>
        <w:tabs>
          <w:tab w:val="left" w:pos="284"/>
        </w:tabs>
        <w:ind w:left="284" w:hanging="284"/>
        <w:jc w:val="both"/>
        <w:rPr>
          <w:rFonts w:ascii="Calibri" w:hAnsi="Calibri"/>
          <w:sz w:val="20"/>
          <w:szCs w:val="20"/>
        </w:rPr>
      </w:pPr>
      <w:r w:rsidRPr="00707839">
        <w:rPr>
          <w:rFonts w:ascii="Calibri" w:hAnsi="Calibri"/>
          <w:sz w:val="20"/>
          <w:szCs w:val="20"/>
        </w:rPr>
        <w:t>Proveedores por pagar a corto plazo. Los adeudos originados por la compra de mercancías o servicios se reconocen en el momento en que se toman posesión de los bienes, se obtienen o se reciben los servicios, con vencimiento menor o igual a doce meses.</w:t>
      </w:r>
    </w:p>
    <w:p w:rsidR="00A47351" w:rsidRPr="00707839" w:rsidRDefault="00A47351" w:rsidP="00A47351">
      <w:pPr>
        <w:tabs>
          <w:tab w:val="left" w:pos="284"/>
        </w:tabs>
        <w:jc w:val="both"/>
        <w:rPr>
          <w:rFonts w:ascii="Calibri" w:hAnsi="Calibri"/>
          <w:sz w:val="20"/>
          <w:szCs w:val="20"/>
        </w:rPr>
      </w:pPr>
    </w:p>
    <w:p w:rsidR="00A47351" w:rsidRPr="00707839" w:rsidRDefault="00A47351" w:rsidP="00A47351">
      <w:pPr>
        <w:pStyle w:val="Prrafodelista"/>
        <w:numPr>
          <w:ilvl w:val="0"/>
          <w:numId w:val="6"/>
        </w:numPr>
        <w:tabs>
          <w:tab w:val="left" w:pos="284"/>
        </w:tabs>
        <w:ind w:left="284" w:hanging="284"/>
        <w:jc w:val="both"/>
        <w:rPr>
          <w:rFonts w:ascii="Calibri" w:hAnsi="Calibri"/>
          <w:sz w:val="20"/>
          <w:szCs w:val="20"/>
        </w:rPr>
      </w:pPr>
      <w:r w:rsidRPr="00707839">
        <w:rPr>
          <w:rFonts w:ascii="Calibri" w:hAnsi="Calibri"/>
          <w:sz w:val="20"/>
          <w:szCs w:val="20"/>
        </w:rPr>
        <w:t>Ingresos. Los ingresos transferidos por el Poder Ejecutivo, aportaciones efectuadas por terceros, venta de localidades por las presentaciones de la Orquesta Sinfónica de Yucatán, y otros ingresos distintos a los conceptos mencionados, se reconocen cuando se reciben en efectivo o cuando se expide el comprobante correspondiente.</w:t>
      </w:r>
    </w:p>
    <w:p w:rsidR="00A47351" w:rsidRPr="00707839" w:rsidRDefault="00A47351" w:rsidP="00A47351">
      <w:pPr>
        <w:tabs>
          <w:tab w:val="left" w:pos="284"/>
        </w:tabs>
        <w:jc w:val="both"/>
        <w:rPr>
          <w:rFonts w:ascii="Calibri" w:hAnsi="Calibri"/>
          <w:sz w:val="20"/>
          <w:szCs w:val="20"/>
        </w:rPr>
      </w:pPr>
    </w:p>
    <w:p w:rsidR="00A47351" w:rsidRPr="00707839" w:rsidRDefault="00A47351" w:rsidP="00A47351">
      <w:pPr>
        <w:pStyle w:val="Prrafodelista"/>
        <w:numPr>
          <w:ilvl w:val="0"/>
          <w:numId w:val="6"/>
        </w:numPr>
        <w:tabs>
          <w:tab w:val="left" w:pos="284"/>
        </w:tabs>
        <w:ind w:left="284" w:hanging="284"/>
        <w:jc w:val="both"/>
        <w:rPr>
          <w:rFonts w:ascii="Calibri" w:hAnsi="Calibri"/>
          <w:sz w:val="20"/>
          <w:szCs w:val="20"/>
        </w:rPr>
      </w:pPr>
      <w:r w:rsidRPr="00707839">
        <w:rPr>
          <w:rFonts w:ascii="Calibri" w:hAnsi="Calibri"/>
          <w:sz w:val="20"/>
          <w:szCs w:val="20"/>
        </w:rPr>
        <w:t>Gastos. Los gastos se registran cuando se devengan.</w:t>
      </w:r>
    </w:p>
    <w:p w:rsidR="00A47351" w:rsidRPr="00707839" w:rsidRDefault="00A47351" w:rsidP="00A47351">
      <w:pPr>
        <w:tabs>
          <w:tab w:val="left" w:pos="284"/>
        </w:tabs>
        <w:jc w:val="both"/>
        <w:rPr>
          <w:rFonts w:ascii="Calibri" w:hAnsi="Calibri"/>
          <w:sz w:val="20"/>
          <w:szCs w:val="20"/>
        </w:rPr>
      </w:pPr>
    </w:p>
    <w:p w:rsidR="00A47351" w:rsidRPr="00707839" w:rsidRDefault="00A47351" w:rsidP="00A47351">
      <w:pPr>
        <w:pStyle w:val="Prrafodelista"/>
        <w:numPr>
          <w:ilvl w:val="0"/>
          <w:numId w:val="6"/>
        </w:numPr>
        <w:tabs>
          <w:tab w:val="left" w:pos="284"/>
        </w:tabs>
        <w:ind w:left="284" w:hanging="284"/>
        <w:jc w:val="both"/>
        <w:rPr>
          <w:rFonts w:ascii="Calibri" w:hAnsi="Calibri"/>
          <w:sz w:val="20"/>
          <w:szCs w:val="20"/>
        </w:rPr>
      </w:pPr>
      <w:r w:rsidRPr="00707839">
        <w:rPr>
          <w:rFonts w:ascii="Calibri" w:hAnsi="Calibri"/>
          <w:sz w:val="20"/>
          <w:szCs w:val="20"/>
        </w:rPr>
        <w:t>Patrimonio Contribuido. El FIGAROSY efectúa un doble registro en aquellos casos en que adquiere bienes muebles e inmuebles, afectando una cuenta de gastos y un incremento al patrimonio, a fin de estar de acuerdo con la contabilidad presupuestal y políticas de las entidades de gobierno, de acuerdo a las normas de Información Financiera. Estos bienes muebles e inmuebles conforman el patrimonio propio del FIGAROSY.</w:t>
      </w:r>
    </w:p>
    <w:p w:rsidR="00A47351" w:rsidRPr="00707839" w:rsidRDefault="00A47351" w:rsidP="00A47351">
      <w:pPr>
        <w:tabs>
          <w:tab w:val="left" w:pos="284"/>
        </w:tabs>
        <w:jc w:val="both"/>
        <w:rPr>
          <w:rFonts w:ascii="Calibri" w:hAnsi="Calibri"/>
          <w:sz w:val="20"/>
          <w:szCs w:val="20"/>
        </w:rPr>
      </w:pPr>
    </w:p>
    <w:p w:rsidR="00A47351" w:rsidRPr="00707839" w:rsidRDefault="00A47351" w:rsidP="00A47351">
      <w:pPr>
        <w:pStyle w:val="Prrafodelista"/>
        <w:numPr>
          <w:ilvl w:val="0"/>
          <w:numId w:val="6"/>
        </w:numPr>
        <w:tabs>
          <w:tab w:val="left" w:pos="284"/>
        </w:tabs>
        <w:ind w:left="284" w:hanging="284"/>
        <w:jc w:val="both"/>
        <w:rPr>
          <w:rFonts w:ascii="Calibri" w:hAnsi="Calibri"/>
          <w:sz w:val="20"/>
          <w:szCs w:val="20"/>
        </w:rPr>
      </w:pPr>
      <w:r w:rsidRPr="00707839">
        <w:rPr>
          <w:rFonts w:ascii="Calibri" w:hAnsi="Calibri"/>
          <w:sz w:val="20"/>
          <w:szCs w:val="20"/>
        </w:rPr>
        <w:t>Indemnización y compensaciones de retiro. La entidad tiene la política de no considerar anticipadamente reservas para las indemnizaciones y compensaciones que en un futuro tuviera que pagar al personal en ciertos casos de despidos y renuncias, pues su política es registrarlos contablemente en el ejercicio en que se den tales situaciones.</w:t>
      </w:r>
    </w:p>
    <w:p w:rsidR="00A47351" w:rsidRPr="00707839" w:rsidRDefault="00A47351" w:rsidP="00A47351">
      <w:pPr>
        <w:pStyle w:val="Prrafodelista"/>
        <w:rPr>
          <w:rFonts w:ascii="Calibri" w:hAnsi="Calibri"/>
          <w:sz w:val="20"/>
          <w:szCs w:val="20"/>
        </w:rPr>
      </w:pPr>
    </w:p>
    <w:p w:rsidR="00A47351" w:rsidRPr="00707839" w:rsidRDefault="00A47351" w:rsidP="00A47351">
      <w:pPr>
        <w:pStyle w:val="Prrafodelista"/>
        <w:numPr>
          <w:ilvl w:val="0"/>
          <w:numId w:val="6"/>
        </w:numPr>
        <w:tabs>
          <w:tab w:val="left" w:pos="284"/>
        </w:tabs>
        <w:ind w:left="284" w:hanging="284"/>
        <w:jc w:val="both"/>
        <w:rPr>
          <w:rFonts w:ascii="Calibri" w:hAnsi="Calibri"/>
          <w:sz w:val="20"/>
          <w:szCs w:val="20"/>
        </w:rPr>
      </w:pPr>
      <w:r w:rsidRPr="00707839">
        <w:rPr>
          <w:rFonts w:ascii="Calibri" w:hAnsi="Calibri"/>
          <w:sz w:val="20"/>
          <w:szCs w:val="20"/>
        </w:rPr>
        <w:t xml:space="preserve">De acuerdo con lo establecido en la cláusula Décima Quinta del Contrato modificatorio de Fideicomiso signado con Nacional Financiera S.N.C., suscrito el 25 de Mayo de 2009, que a letra dice: “La FIDUCIARIA invertirá los fondos líquidos del FIDEICOMISO en instrumentos de deuda gubernamentales o bancarios, en los plazos y los términos que la instruya por escrito o por medios electrónicos el Comité Técnico, por conducto del Director General del presente FIDEICOMISO, tomando a su cargo </w:t>
      </w:r>
      <w:r w:rsidRPr="00707839">
        <w:rPr>
          <w:rFonts w:ascii="Calibri" w:hAnsi="Calibri"/>
          <w:sz w:val="20"/>
          <w:szCs w:val="20"/>
        </w:rPr>
        <w:lastRenderedPageBreak/>
        <w:t>la FIDUCIARIA la vigilancia de los mismos y reinvirtiendo el producto de las amortizaciones de los valores,…”, con el fin de tener la disponibilidad en caso de algún imprevisto que ponga en riesgo la operatividad de FIGAROSY.</w:t>
      </w:r>
    </w:p>
    <w:p w:rsidR="00C243D7" w:rsidRPr="00707839" w:rsidRDefault="00C243D7" w:rsidP="00C243D7">
      <w:pPr>
        <w:pStyle w:val="Prrafodelista"/>
        <w:rPr>
          <w:rFonts w:ascii="Calibri" w:hAnsi="Calibri"/>
          <w:sz w:val="20"/>
          <w:szCs w:val="20"/>
        </w:rPr>
      </w:pPr>
    </w:p>
    <w:p w:rsidR="00C243D7" w:rsidRPr="00707839" w:rsidRDefault="00C243D7" w:rsidP="00C243D7">
      <w:pPr>
        <w:pStyle w:val="Prrafodelista"/>
        <w:tabs>
          <w:tab w:val="left" w:pos="284"/>
        </w:tabs>
        <w:ind w:left="284"/>
        <w:jc w:val="both"/>
        <w:rPr>
          <w:rFonts w:ascii="Calibri" w:hAnsi="Calibri"/>
          <w:sz w:val="20"/>
          <w:szCs w:val="20"/>
        </w:rPr>
      </w:pPr>
    </w:p>
    <w:p w:rsidR="00A47351" w:rsidRPr="00707839" w:rsidRDefault="00A47351" w:rsidP="00A47351">
      <w:pPr>
        <w:tabs>
          <w:tab w:val="left" w:pos="284"/>
        </w:tabs>
        <w:jc w:val="both"/>
        <w:rPr>
          <w:rFonts w:ascii="Calibri" w:hAnsi="Calibri"/>
          <w:sz w:val="20"/>
          <w:szCs w:val="20"/>
        </w:rPr>
      </w:pPr>
    </w:p>
    <w:p w:rsidR="00A47351" w:rsidRPr="00707839" w:rsidRDefault="00A47351" w:rsidP="00A47351">
      <w:pPr>
        <w:pStyle w:val="Prrafodelista"/>
        <w:numPr>
          <w:ilvl w:val="0"/>
          <w:numId w:val="28"/>
        </w:numPr>
        <w:tabs>
          <w:tab w:val="left" w:pos="426"/>
        </w:tabs>
        <w:ind w:left="0" w:firstLine="0"/>
        <w:rPr>
          <w:rFonts w:ascii="Calibri" w:hAnsi="Calibri"/>
          <w:b/>
          <w:sz w:val="20"/>
          <w:szCs w:val="20"/>
        </w:rPr>
      </w:pPr>
      <w:r w:rsidRPr="00707839">
        <w:rPr>
          <w:rFonts w:ascii="Calibri" w:hAnsi="Calibri"/>
          <w:b/>
          <w:sz w:val="20"/>
          <w:szCs w:val="20"/>
        </w:rPr>
        <w:t>Posición en Moneda Extranjera y Protección por Riesgo Cambiario.</w:t>
      </w:r>
    </w:p>
    <w:p w:rsidR="00A47351" w:rsidRPr="00707839" w:rsidRDefault="00A47351" w:rsidP="00A47351">
      <w:pPr>
        <w:pStyle w:val="Prrafodelista"/>
        <w:tabs>
          <w:tab w:val="left" w:pos="426"/>
        </w:tabs>
        <w:ind w:left="0"/>
        <w:jc w:val="both"/>
        <w:rPr>
          <w:rFonts w:ascii="Calibri" w:hAnsi="Calibri"/>
          <w:sz w:val="20"/>
          <w:szCs w:val="20"/>
        </w:rPr>
      </w:pPr>
    </w:p>
    <w:p w:rsidR="00A47351" w:rsidRPr="00707839" w:rsidRDefault="00A47351" w:rsidP="00A47351">
      <w:pPr>
        <w:pStyle w:val="Prrafodelista"/>
        <w:tabs>
          <w:tab w:val="left" w:pos="426"/>
        </w:tabs>
        <w:ind w:left="0"/>
        <w:jc w:val="both"/>
        <w:rPr>
          <w:rFonts w:ascii="Calibri" w:hAnsi="Calibri"/>
          <w:sz w:val="20"/>
          <w:szCs w:val="20"/>
        </w:rPr>
      </w:pPr>
      <w:r w:rsidRPr="00707839">
        <w:rPr>
          <w:rFonts w:ascii="Calibri" w:hAnsi="Calibri"/>
          <w:sz w:val="20"/>
          <w:szCs w:val="20"/>
        </w:rPr>
        <w:t>Las operaciones que derivan un pago en moneda extranjera, se convierten a moneda nacional, al utilizar el tipo de cambio del día que se realice la operación, que es la fecha en que la transacción cumple las condiciones para su reconocimiento.</w:t>
      </w:r>
    </w:p>
    <w:p w:rsidR="00A47351" w:rsidRPr="00707839" w:rsidRDefault="00A47351" w:rsidP="00A47351">
      <w:pPr>
        <w:pStyle w:val="Prrafodelista"/>
        <w:tabs>
          <w:tab w:val="left" w:pos="426"/>
        </w:tabs>
        <w:ind w:left="0"/>
        <w:jc w:val="both"/>
        <w:rPr>
          <w:rFonts w:ascii="Calibri" w:hAnsi="Calibri"/>
          <w:sz w:val="20"/>
          <w:szCs w:val="20"/>
        </w:rPr>
      </w:pPr>
    </w:p>
    <w:p w:rsidR="00A47351" w:rsidRPr="00707839" w:rsidRDefault="00A47351" w:rsidP="00A47351">
      <w:pPr>
        <w:pStyle w:val="Prrafodelista"/>
        <w:numPr>
          <w:ilvl w:val="0"/>
          <w:numId w:val="28"/>
        </w:numPr>
        <w:tabs>
          <w:tab w:val="left" w:pos="426"/>
        </w:tabs>
        <w:ind w:left="0" w:firstLine="0"/>
        <w:rPr>
          <w:rFonts w:ascii="Calibri" w:hAnsi="Calibri"/>
          <w:b/>
          <w:sz w:val="20"/>
          <w:szCs w:val="20"/>
        </w:rPr>
      </w:pPr>
      <w:r w:rsidRPr="00707839">
        <w:rPr>
          <w:rFonts w:ascii="Calibri" w:hAnsi="Calibri"/>
          <w:b/>
          <w:sz w:val="20"/>
          <w:szCs w:val="20"/>
        </w:rPr>
        <w:t>Reporte Analítico del Activo.</w:t>
      </w:r>
    </w:p>
    <w:p w:rsidR="00A47351" w:rsidRPr="00707839" w:rsidRDefault="00A47351" w:rsidP="00A47351">
      <w:pPr>
        <w:pStyle w:val="Prrafodelista"/>
        <w:tabs>
          <w:tab w:val="left" w:pos="426"/>
        </w:tabs>
        <w:ind w:left="0"/>
        <w:rPr>
          <w:rFonts w:ascii="Calibri" w:hAnsi="Calibri"/>
          <w:b/>
          <w:sz w:val="20"/>
          <w:szCs w:val="20"/>
        </w:rPr>
      </w:pPr>
    </w:p>
    <w:p w:rsidR="00A47351" w:rsidRPr="00707839" w:rsidRDefault="00A47351" w:rsidP="00A47351">
      <w:pPr>
        <w:tabs>
          <w:tab w:val="left" w:pos="284"/>
        </w:tabs>
        <w:jc w:val="both"/>
        <w:rPr>
          <w:rFonts w:ascii="Calibri" w:hAnsi="Calibri"/>
          <w:sz w:val="20"/>
          <w:szCs w:val="20"/>
        </w:rPr>
      </w:pPr>
      <w:r w:rsidRPr="00707839">
        <w:rPr>
          <w:rFonts w:ascii="Calibri" w:hAnsi="Calibri"/>
          <w:sz w:val="20"/>
          <w:szCs w:val="20"/>
        </w:rPr>
        <w:t xml:space="preserve">Los bienes muebles e intangibles cuyo costo unitario de adquisición sea igual o superior a setenta veces el valor diario de la Unidad de Medida y Actualización, se registra contablemente como un aumento en el activo no circulante e identifica en el control administrativo para efectos de conciliación contable. Los bienes muebles e intangibles cuyo costo unitario de adquisición sea igual o inferior a setenta veces el valor diario de la Unidad de Medida y Actualización, se registra contablemente como un gasto, conforme al Acuerdo por el que se emiten las Reglas Específicas del Registro y Valoración del Patrimonio, publicado el 27 de Diciembre de 2017 en el Diario Oficial de la Federación.     </w:t>
      </w:r>
    </w:p>
    <w:p w:rsidR="00A47351" w:rsidRPr="00707839" w:rsidRDefault="00A47351" w:rsidP="00A47351">
      <w:pPr>
        <w:pStyle w:val="Prrafodelista"/>
        <w:tabs>
          <w:tab w:val="left" w:pos="426"/>
        </w:tabs>
        <w:ind w:left="0"/>
        <w:rPr>
          <w:rFonts w:ascii="Calibri" w:hAnsi="Calibri"/>
          <w:b/>
          <w:sz w:val="20"/>
          <w:szCs w:val="20"/>
        </w:rPr>
      </w:pPr>
    </w:p>
    <w:p w:rsidR="00A47351" w:rsidRPr="00707839" w:rsidRDefault="00A47351" w:rsidP="00A47351">
      <w:pPr>
        <w:pStyle w:val="Prrafodelista"/>
        <w:tabs>
          <w:tab w:val="left" w:pos="426"/>
        </w:tabs>
        <w:ind w:left="0"/>
        <w:jc w:val="both"/>
        <w:rPr>
          <w:rFonts w:ascii="Calibri" w:hAnsi="Calibri"/>
          <w:sz w:val="20"/>
          <w:szCs w:val="20"/>
        </w:rPr>
      </w:pPr>
      <w:r w:rsidRPr="00707839">
        <w:rPr>
          <w:rFonts w:ascii="Calibri" w:hAnsi="Calibri"/>
          <w:sz w:val="20"/>
          <w:szCs w:val="20"/>
        </w:rPr>
        <w:t xml:space="preserve">La depreciación es la distribución sistemática del costo de adquisición de un activo a lo largo de su vida útil, conforme el Acuerdo por el que se emiten las Reglas Específicas del Registro y Valoración del Patrimonio emitidas por el Consejo Nacional de Armonización Contable y publicadas en el Diario Oficial del Estado el 10 de Enero de 2012. </w:t>
      </w:r>
    </w:p>
    <w:p w:rsidR="00A47351" w:rsidRPr="00707839" w:rsidRDefault="00A47351" w:rsidP="00A47351">
      <w:pPr>
        <w:pStyle w:val="Prrafodelista"/>
        <w:tabs>
          <w:tab w:val="left" w:pos="426"/>
        </w:tabs>
        <w:ind w:left="0"/>
        <w:jc w:val="both"/>
        <w:rPr>
          <w:rFonts w:ascii="Calibri" w:hAnsi="Calibri"/>
          <w:sz w:val="20"/>
          <w:szCs w:val="20"/>
        </w:rPr>
      </w:pPr>
      <w:r w:rsidRPr="00707839">
        <w:rPr>
          <w:rFonts w:ascii="Calibri" w:hAnsi="Calibri"/>
          <w:sz w:val="20"/>
          <w:szCs w:val="20"/>
        </w:rPr>
        <w:t xml:space="preserve"> </w:t>
      </w:r>
    </w:p>
    <w:p w:rsidR="00A47351" w:rsidRPr="00707839" w:rsidRDefault="00A47351" w:rsidP="00A47351">
      <w:pPr>
        <w:pStyle w:val="Prrafodelista"/>
        <w:tabs>
          <w:tab w:val="left" w:pos="426"/>
        </w:tabs>
        <w:ind w:left="0"/>
        <w:jc w:val="both"/>
        <w:rPr>
          <w:rFonts w:ascii="Calibri" w:hAnsi="Calibri"/>
          <w:sz w:val="20"/>
          <w:szCs w:val="20"/>
        </w:rPr>
      </w:pPr>
      <w:r w:rsidRPr="00707839">
        <w:rPr>
          <w:rFonts w:ascii="Calibri" w:hAnsi="Calibri"/>
          <w:sz w:val="20"/>
          <w:szCs w:val="20"/>
        </w:rPr>
        <w:t>A continuación, se enlista los años de vida útil y los porcentajes de depreciación anual aplicados a los siguientes rubros de bienes muebles:</w:t>
      </w:r>
    </w:p>
    <w:p w:rsidR="00F45988" w:rsidRPr="00707839" w:rsidRDefault="00F45988" w:rsidP="00A47351">
      <w:pPr>
        <w:pStyle w:val="Prrafodelista"/>
        <w:tabs>
          <w:tab w:val="left" w:pos="426"/>
        </w:tabs>
        <w:ind w:left="0"/>
        <w:jc w:val="both"/>
        <w:rPr>
          <w:rFonts w:ascii="Calibri" w:hAnsi="Calibri"/>
          <w:sz w:val="20"/>
          <w:szCs w:val="20"/>
        </w:rPr>
      </w:pPr>
    </w:p>
    <w:p w:rsidR="00F45988" w:rsidRPr="00707839" w:rsidRDefault="00F45988" w:rsidP="007F6C9A">
      <w:pPr>
        <w:pStyle w:val="Prrafodelista"/>
        <w:tabs>
          <w:tab w:val="left" w:pos="426"/>
        </w:tabs>
        <w:ind w:left="0"/>
        <w:jc w:val="center"/>
        <w:rPr>
          <w:rFonts w:ascii="Calibri" w:hAnsi="Calibri"/>
          <w:sz w:val="20"/>
          <w:szCs w:val="20"/>
        </w:rPr>
      </w:pPr>
      <w:r w:rsidRPr="00707839">
        <w:rPr>
          <w:noProof/>
          <w:lang w:eastAsia="es-MX"/>
        </w:rPr>
        <w:drawing>
          <wp:inline distT="0" distB="0" distL="0" distR="0">
            <wp:extent cx="5048885" cy="1542415"/>
            <wp:effectExtent l="0" t="0" r="0" b="635"/>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048885" cy="1542415"/>
                    </a:xfrm>
                    <a:prstGeom prst="rect">
                      <a:avLst/>
                    </a:prstGeom>
                    <a:noFill/>
                    <a:ln>
                      <a:noFill/>
                    </a:ln>
                  </pic:spPr>
                </pic:pic>
              </a:graphicData>
            </a:graphic>
          </wp:inline>
        </w:drawing>
      </w:r>
    </w:p>
    <w:p w:rsidR="00F45988" w:rsidRPr="00707839" w:rsidRDefault="00A47351" w:rsidP="00C243D7">
      <w:pPr>
        <w:pStyle w:val="Prrafodelista"/>
        <w:tabs>
          <w:tab w:val="left" w:pos="426"/>
        </w:tabs>
        <w:ind w:left="0"/>
        <w:jc w:val="both"/>
        <w:rPr>
          <w:rFonts w:ascii="Calibri" w:hAnsi="Calibri"/>
          <w:sz w:val="20"/>
          <w:szCs w:val="20"/>
        </w:rPr>
      </w:pPr>
      <w:r w:rsidRPr="00707839">
        <w:rPr>
          <w:rFonts w:ascii="Calibri" w:hAnsi="Calibri"/>
          <w:sz w:val="20"/>
          <w:szCs w:val="20"/>
        </w:rPr>
        <w:t xml:space="preserve">    </w:t>
      </w:r>
    </w:p>
    <w:p w:rsidR="00F45988" w:rsidRPr="00707839" w:rsidRDefault="00F45988" w:rsidP="00A47351">
      <w:pPr>
        <w:pStyle w:val="Prrafodelista"/>
        <w:tabs>
          <w:tab w:val="left" w:pos="426"/>
        </w:tabs>
        <w:ind w:left="0"/>
        <w:jc w:val="both"/>
        <w:rPr>
          <w:rFonts w:ascii="Calibri" w:hAnsi="Calibri"/>
          <w:sz w:val="20"/>
          <w:szCs w:val="20"/>
        </w:rPr>
      </w:pPr>
    </w:p>
    <w:p w:rsidR="00A47351" w:rsidRPr="00707839" w:rsidRDefault="00A47351" w:rsidP="00A47351">
      <w:pPr>
        <w:pStyle w:val="Prrafodelista"/>
        <w:tabs>
          <w:tab w:val="left" w:pos="426"/>
        </w:tabs>
        <w:ind w:left="0"/>
        <w:jc w:val="both"/>
        <w:rPr>
          <w:rFonts w:ascii="Calibri" w:hAnsi="Calibri"/>
          <w:sz w:val="20"/>
          <w:szCs w:val="20"/>
        </w:rPr>
      </w:pPr>
      <w:r w:rsidRPr="00707839">
        <w:rPr>
          <w:rFonts w:ascii="Calibri" w:hAnsi="Calibri"/>
          <w:sz w:val="20"/>
          <w:szCs w:val="20"/>
        </w:rPr>
        <w:lastRenderedPageBreak/>
        <w:t>La amortización es la distribución sistemática del costo de adquisición de un activo a lo largo de su vida útil, conforme el Acuerdo por el que se emiten las Reglas Específicas del Registro y Valoración del Patrimonio emitidas por el Consejo Nacional de Armonización Contable y publicadas en el Diario Oficial del Estado el 10 de Enero de 2012.</w:t>
      </w:r>
    </w:p>
    <w:p w:rsidR="00A47351" w:rsidRPr="00707839" w:rsidRDefault="00A47351" w:rsidP="00A47351">
      <w:pPr>
        <w:pStyle w:val="Prrafodelista"/>
        <w:tabs>
          <w:tab w:val="left" w:pos="426"/>
        </w:tabs>
        <w:ind w:left="0"/>
        <w:jc w:val="both"/>
        <w:rPr>
          <w:rFonts w:ascii="Calibri" w:hAnsi="Calibri"/>
          <w:sz w:val="20"/>
          <w:szCs w:val="20"/>
        </w:rPr>
      </w:pPr>
    </w:p>
    <w:p w:rsidR="00C243D7" w:rsidRPr="00707839" w:rsidRDefault="00C243D7" w:rsidP="00A47351">
      <w:pPr>
        <w:pStyle w:val="Prrafodelista"/>
        <w:tabs>
          <w:tab w:val="left" w:pos="426"/>
        </w:tabs>
        <w:ind w:left="0"/>
        <w:jc w:val="both"/>
        <w:rPr>
          <w:rFonts w:ascii="Calibri" w:hAnsi="Calibri"/>
          <w:sz w:val="20"/>
          <w:szCs w:val="20"/>
        </w:rPr>
      </w:pPr>
    </w:p>
    <w:p w:rsidR="00C243D7" w:rsidRPr="00707839" w:rsidRDefault="00C243D7" w:rsidP="00A47351">
      <w:pPr>
        <w:pStyle w:val="Prrafodelista"/>
        <w:tabs>
          <w:tab w:val="left" w:pos="426"/>
        </w:tabs>
        <w:ind w:left="0"/>
        <w:jc w:val="both"/>
        <w:rPr>
          <w:rFonts w:ascii="Calibri" w:hAnsi="Calibri"/>
          <w:sz w:val="20"/>
          <w:szCs w:val="20"/>
        </w:rPr>
      </w:pPr>
    </w:p>
    <w:p w:rsidR="00C243D7" w:rsidRPr="00707839" w:rsidRDefault="00C243D7" w:rsidP="00A47351">
      <w:pPr>
        <w:pStyle w:val="Prrafodelista"/>
        <w:tabs>
          <w:tab w:val="left" w:pos="426"/>
        </w:tabs>
        <w:ind w:left="0"/>
        <w:jc w:val="both"/>
        <w:rPr>
          <w:rFonts w:ascii="Calibri" w:hAnsi="Calibri"/>
          <w:sz w:val="20"/>
          <w:szCs w:val="20"/>
        </w:rPr>
      </w:pPr>
    </w:p>
    <w:p w:rsidR="00C243D7" w:rsidRPr="00707839" w:rsidRDefault="00C243D7" w:rsidP="00A47351">
      <w:pPr>
        <w:pStyle w:val="Prrafodelista"/>
        <w:tabs>
          <w:tab w:val="left" w:pos="426"/>
        </w:tabs>
        <w:ind w:left="0"/>
        <w:jc w:val="both"/>
        <w:rPr>
          <w:rFonts w:ascii="Calibri" w:hAnsi="Calibri"/>
          <w:sz w:val="20"/>
          <w:szCs w:val="20"/>
        </w:rPr>
      </w:pPr>
    </w:p>
    <w:p w:rsidR="00C243D7" w:rsidRPr="00707839" w:rsidRDefault="00C243D7" w:rsidP="00A47351">
      <w:pPr>
        <w:pStyle w:val="Prrafodelista"/>
        <w:tabs>
          <w:tab w:val="left" w:pos="426"/>
        </w:tabs>
        <w:ind w:left="0"/>
        <w:jc w:val="both"/>
        <w:rPr>
          <w:rFonts w:ascii="Calibri" w:hAnsi="Calibri"/>
          <w:sz w:val="20"/>
          <w:szCs w:val="20"/>
        </w:rPr>
      </w:pPr>
    </w:p>
    <w:p w:rsidR="00C243D7" w:rsidRPr="00707839" w:rsidRDefault="00C243D7" w:rsidP="00A47351">
      <w:pPr>
        <w:pStyle w:val="Prrafodelista"/>
        <w:tabs>
          <w:tab w:val="left" w:pos="426"/>
        </w:tabs>
        <w:ind w:left="0"/>
        <w:jc w:val="both"/>
        <w:rPr>
          <w:rFonts w:ascii="Calibri" w:hAnsi="Calibri"/>
          <w:sz w:val="20"/>
          <w:szCs w:val="20"/>
        </w:rPr>
      </w:pPr>
    </w:p>
    <w:p w:rsidR="00A47351" w:rsidRPr="00707839" w:rsidRDefault="00A47351" w:rsidP="00A47351">
      <w:pPr>
        <w:pStyle w:val="Prrafodelista"/>
        <w:tabs>
          <w:tab w:val="left" w:pos="426"/>
        </w:tabs>
        <w:ind w:left="0"/>
        <w:jc w:val="both"/>
        <w:rPr>
          <w:rFonts w:ascii="Calibri" w:hAnsi="Calibri"/>
          <w:sz w:val="20"/>
          <w:szCs w:val="20"/>
        </w:rPr>
      </w:pPr>
      <w:r w:rsidRPr="00707839">
        <w:rPr>
          <w:rFonts w:ascii="Calibri" w:hAnsi="Calibri"/>
          <w:sz w:val="20"/>
          <w:szCs w:val="20"/>
        </w:rPr>
        <w:t>A continuación, se enlista los años de vida útil y el porcentaje de amortización anual aplicado en el siguiente rubro de activos intangibles:</w:t>
      </w:r>
    </w:p>
    <w:p w:rsidR="00A47351" w:rsidRPr="00707839" w:rsidRDefault="00A47351" w:rsidP="00A47351">
      <w:pPr>
        <w:pStyle w:val="Prrafodelista"/>
        <w:tabs>
          <w:tab w:val="left" w:pos="426"/>
        </w:tabs>
        <w:ind w:left="0"/>
        <w:jc w:val="both"/>
        <w:rPr>
          <w:rFonts w:ascii="Calibri" w:hAnsi="Calibri"/>
          <w:sz w:val="20"/>
          <w:szCs w:val="20"/>
        </w:rPr>
      </w:pPr>
    </w:p>
    <w:p w:rsidR="00A47351" w:rsidRPr="00707839" w:rsidRDefault="00A47351" w:rsidP="00A47351">
      <w:pPr>
        <w:pStyle w:val="Prrafodelista"/>
        <w:tabs>
          <w:tab w:val="left" w:pos="426"/>
        </w:tabs>
        <w:ind w:left="0"/>
        <w:jc w:val="both"/>
        <w:rPr>
          <w:rFonts w:ascii="Calibri" w:hAnsi="Calibri"/>
          <w:sz w:val="20"/>
          <w:szCs w:val="20"/>
        </w:rPr>
      </w:pPr>
    </w:p>
    <w:p w:rsidR="00A47351" w:rsidRPr="00707839" w:rsidRDefault="00F45988" w:rsidP="007F6C9A">
      <w:pPr>
        <w:pStyle w:val="Prrafodelista"/>
        <w:tabs>
          <w:tab w:val="left" w:pos="426"/>
        </w:tabs>
        <w:ind w:left="0"/>
        <w:jc w:val="center"/>
        <w:rPr>
          <w:rFonts w:ascii="Calibri" w:hAnsi="Calibri"/>
          <w:sz w:val="20"/>
          <w:szCs w:val="20"/>
        </w:rPr>
      </w:pPr>
      <w:r w:rsidRPr="00707839">
        <w:rPr>
          <w:noProof/>
          <w:lang w:eastAsia="es-MX"/>
        </w:rPr>
        <w:drawing>
          <wp:inline distT="0" distB="0" distL="0" distR="0">
            <wp:extent cx="5046980" cy="593725"/>
            <wp:effectExtent l="0" t="0" r="1270" b="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046980" cy="593725"/>
                    </a:xfrm>
                    <a:prstGeom prst="rect">
                      <a:avLst/>
                    </a:prstGeom>
                    <a:noFill/>
                    <a:ln>
                      <a:noFill/>
                    </a:ln>
                  </pic:spPr>
                </pic:pic>
              </a:graphicData>
            </a:graphic>
          </wp:inline>
        </w:drawing>
      </w:r>
    </w:p>
    <w:p w:rsidR="00C243D7" w:rsidRPr="00707839" w:rsidRDefault="00C243D7" w:rsidP="007F6C9A">
      <w:pPr>
        <w:pStyle w:val="Prrafodelista"/>
        <w:tabs>
          <w:tab w:val="left" w:pos="426"/>
        </w:tabs>
        <w:ind w:left="0"/>
        <w:jc w:val="center"/>
        <w:rPr>
          <w:rFonts w:ascii="Calibri" w:hAnsi="Calibri"/>
          <w:sz w:val="20"/>
          <w:szCs w:val="20"/>
        </w:rPr>
      </w:pPr>
    </w:p>
    <w:p w:rsidR="00A47351" w:rsidRPr="00707839" w:rsidRDefault="00A47351" w:rsidP="00A47351">
      <w:pPr>
        <w:pStyle w:val="Prrafodelista"/>
        <w:numPr>
          <w:ilvl w:val="0"/>
          <w:numId w:val="28"/>
        </w:numPr>
        <w:tabs>
          <w:tab w:val="left" w:pos="426"/>
        </w:tabs>
        <w:ind w:left="0" w:firstLine="0"/>
        <w:rPr>
          <w:rFonts w:ascii="Calibri" w:hAnsi="Calibri"/>
          <w:b/>
          <w:sz w:val="20"/>
          <w:szCs w:val="20"/>
        </w:rPr>
      </w:pPr>
      <w:r w:rsidRPr="00707839">
        <w:rPr>
          <w:rFonts w:ascii="Calibri" w:hAnsi="Calibri"/>
          <w:b/>
          <w:sz w:val="20"/>
          <w:szCs w:val="20"/>
        </w:rPr>
        <w:t>Fideicomiso, Mandatos y Análogos.</w:t>
      </w:r>
    </w:p>
    <w:p w:rsidR="00A47351" w:rsidRPr="00707839" w:rsidRDefault="00A47351" w:rsidP="00A47351">
      <w:pPr>
        <w:pStyle w:val="Textoindependiente2"/>
        <w:tabs>
          <w:tab w:val="left" w:pos="7965"/>
        </w:tabs>
        <w:rPr>
          <w:rFonts w:ascii="Calibri" w:hAnsi="Calibri"/>
          <w:sz w:val="20"/>
          <w:szCs w:val="20"/>
        </w:rPr>
      </w:pPr>
    </w:p>
    <w:p w:rsidR="00A47351" w:rsidRPr="00707839" w:rsidRDefault="00A47351" w:rsidP="00A47351">
      <w:pPr>
        <w:autoSpaceDE w:val="0"/>
        <w:jc w:val="both"/>
        <w:rPr>
          <w:rFonts w:ascii="Calibri" w:hAnsi="Calibri"/>
          <w:sz w:val="20"/>
          <w:szCs w:val="20"/>
        </w:rPr>
      </w:pPr>
      <w:r w:rsidRPr="00707839">
        <w:rPr>
          <w:rFonts w:ascii="Calibri" w:hAnsi="Calibri"/>
          <w:sz w:val="20"/>
          <w:szCs w:val="20"/>
        </w:rPr>
        <w:t>El Secretario de Administración y Finanzas, en representación del Gobernador Constitucional del Estado de Yucatán, suscribió el contrato de fideicomiso No. 80553, número de inversión 1063907, con la institución Nacional Financiera S.N.C., como fiduciaria y como fideicomitente el Gobierno del Estado de Yucatán, representado por la Secretaría de Administración y Finanzas.</w:t>
      </w:r>
    </w:p>
    <w:p w:rsidR="00A47351" w:rsidRPr="00707839" w:rsidRDefault="00A47351" w:rsidP="00A47351">
      <w:pPr>
        <w:pStyle w:val="Textoindependiente2"/>
        <w:tabs>
          <w:tab w:val="left" w:pos="7965"/>
        </w:tabs>
        <w:rPr>
          <w:rFonts w:ascii="Calibri" w:hAnsi="Calibri"/>
          <w:sz w:val="20"/>
          <w:szCs w:val="20"/>
        </w:rPr>
      </w:pPr>
      <w:r w:rsidRPr="00707839">
        <w:rPr>
          <w:rFonts w:ascii="Calibri" w:hAnsi="Calibri"/>
          <w:sz w:val="20"/>
          <w:szCs w:val="20"/>
        </w:rPr>
        <w:tab/>
      </w:r>
    </w:p>
    <w:p w:rsidR="00A47351" w:rsidRPr="00707839" w:rsidRDefault="00A47351" w:rsidP="00A47351">
      <w:pPr>
        <w:pStyle w:val="Prrafodelista"/>
        <w:tabs>
          <w:tab w:val="left" w:pos="0"/>
          <w:tab w:val="left" w:pos="284"/>
        </w:tabs>
        <w:ind w:left="0"/>
        <w:jc w:val="both"/>
        <w:rPr>
          <w:rFonts w:ascii="Calibri" w:hAnsi="Calibri"/>
          <w:sz w:val="20"/>
          <w:szCs w:val="20"/>
        </w:rPr>
      </w:pPr>
      <w:r w:rsidRPr="00707839">
        <w:rPr>
          <w:rFonts w:ascii="Calibri" w:hAnsi="Calibri"/>
          <w:sz w:val="20"/>
          <w:szCs w:val="20"/>
        </w:rPr>
        <w:t>Como resultado de los remanentes de efectivo disponibles de los ejercicios subsecuentes, el Comité Técnico del FIGAROSY autorizó para los ejercicios 2010, 2011, 2012, 2013, 2014, 2015, 2016 y 2017  la reinversión de estos remanentes y sus rendimientos, utilizando el mismo instrumento de inversión a un plazo de 91 días, lo que ha generado rendimientos adicionales de conformidad con la instrucción del Comité Técnico del FIGAROSY. El instrumento financiero que se utiliza es la tasa de Inversiones a Plazo con Rendimiento Liquidable al Vencimiento (PRLV).</w:t>
      </w:r>
    </w:p>
    <w:p w:rsidR="00A47351" w:rsidRPr="00707839" w:rsidRDefault="00A47351" w:rsidP="00A47351">
      <w:pPr>
        <w:pStyle w:val="Prrafodelista"/>
        <w:tabs>
          <w:tab w:val="left" w:pos="0"/>
          <w:tab w:val="left" w:pos="284"/>
        </w:tabs>
        <w:ind w:left="0"/>
        <w:jc w:val="both"/>
        <w:rPr>
          <w:rFonts w:ascii="Calibri" w:hAnsi="Calibri"/>
          <w:sz w:val="20"/>
          <w:szCs w:val="20"/>
        </w:rPr>
      </w:pPr>
    </w:p>
    <w:p w:rsidR="00A47351" w:rsidRPr="00707839" w:rsidRDefault="00A47351" w:rsidP="00A47351">
      <w:pPr>
        <w:pStyle w:val="Prrafodelista"/>
        <w:numPr>
          <w:ilvl w:val="0"/>
          <w:numId w:val="28"/>
        </w:numPr>
        <w:tabs>
          <w:tab w:val="left" w:pos="426"/>
        </w:tabs>
        <w:ind w:left="0" w:firstLine="0"/>
        <w:rPr>
          <w:rFonts w:ascii="Calibri" w:hAnsi="Calibri"/>
          <w:b/>
          <w:sz w:val="20"/>
          <w:szCs w:val="20"/>
        </w:rPr>
      </w:pPr>
      <w:r w:rsidRPr="00707839">
        <w:rPr>
          <w:rFonts w:ascii="Calibri" w:hAnsi="Calibri"/>
          <w:b/>
          <w:sz w:val="20"/>
          <w:szCs w:val="20"/>
        </w:rPr>
        <w:t>Reporte de la Recaudación.</w:t>
      </w:r>
    </w:p>
    <w:p w:rsidR="00A47351" w:rsidRPr="00707839" w:rsidRDefault="00A47351" w:rsidP="00A47351">
      <w:pPr>
        <w:pStyle w:val="Prrafodelista"/>
        <w:tabs>
          <w:tab w:val="left" w:pos="426"/>
        </w:tabs>
        <w:ind w:left="0"/>
        <w:rPr>
          <w:rFonts w:ascii="Calibri" w:hAnsi="Calibri"/>
          <w:b/>
          <w:sz w:val="20"/>
          <w:szCs w:val="20"/>
        </w:rPr>
      </w:pPr>
    </w:p>
    <w:p w:rsidR="00A47351" w:rsidRPr="00707839" w:rsidRDefault="00A47351" w:rsidP="00A47351">
      <w:pPr>
        <w:pStyle w:val="Prrafodelista"/>
        <w:tabs>
          <w:tab w:val="left" w:pos="284"/>
        </w:tabs>
        <w:ind w:left="0"/>
        <w:jc w:val="both"/>
        <w:rPr>
          <w:rFonts w:ascii="Calibri" w:hAnsi="Calibri"/>
          <w:sz w:val="20"/>
          <w:szCs w:val="20"/>
        </w:rPr>
      </w:pPr>
      <w:r w:rsidRPr="00707839">
        <w:rPr>
          <w:rFonts w:ascii="Calibri" w:hAnsi="Calibri"/>
          <w:sz w:val="20"/>
          <w:szCs w:val="20"/>
        </w:rPr>
        <w:t xml:space="preserve">Conforme al Decreto número </w:t>
      </w:r>
      <w:r w:rsidR="00157E23" w:rsidRPr="00707839">
        <w:rPr>
          <w:rFonts w:ascii="Calibri" w:hAnsi="Calibri"/>
          <w:sz w:val="20"/>
          <w:szCs w:val="20"/>
        </w:rPr>
        <w:t>441</w:t>
      </w:r>
      <w:r w:rsidRPr="00707839">
        <w:rPr>
          <w:rFonts w:ascii="Calibri" w:hAnsi="Calibri"/>
          <w:sz w:val="20"/>
          <w:szCs w:val="20"/>
        </w:rPr>
        <w:t>/20</w:t>
      </w:r>
      <w:r w:rsidR="00152BA8" w:rsidRPr="00707839">
        <w:rPr>
          <w:rFonts w:ascii="Calibri" w:hAnsi="Calibri"/>
          <w:sz w:val="20"/>
          <w:szCs w:val="20"/>
        </w:rPr>
        <w:t>2</w:t>
      </w:r>
      <w:r w:rsidR="00157E23" w:rsidRPr="00707839">
        <w:rPr>
          <w:rFonts w:ascii="Calibri" w:hAnsi="Calibri"/>
          <w:sz w:val="20"/>
          <w:szCs w:val="20"/>
        </w:rPr>
        <w:t>1</w:t>
      </w:r>
      <w:r w:rsidRPr="00707839">
        <w:rPr>
          <w:rFonts w:ascii="Calibri" w:hAnsi="Calibri"/>
          <w:sz w:val="20"/>
          <w:szCs w:val="20"/>
        </w:rPr>
        <w:t xml:space="preserve"> de fecha 3</w:t>
      </w:r>
      <w:r w:rsidR="00152BA8" w:rsidRPr="00707839">
        <w:rPr>
          <w:rFonts w:ascii="Calibri" w:hAnsi="Calibri"/>
          <w:sz w:val="20"/>
          <w:szCs w:val="20"/>
        </w:rPr>
        <w:t>0</w:t>
      </w:r>
      <w:r w:rsidRPr="00707839">
        <w:rPr>
          <w:rFonts w:ascii="Calibri" w:hAnsi="Calibri"/>
          <w:sz w:val="20"/>
          <w:szCs w:val="20"/>
        </w:rPr>
        <w:t xml:space="preserve"> de Diciembre de 20</w:t>
      </w:r>
      <w:r w:rsidR="00152BA8" w:rsidRPr="00707839">
        <w:rPr>
          <w:rFonts w:ascii="Calibri" w:hAnsi="Calibri"/>
          <w:sz w:val="20"/>
          <w:szCs w:val="20"/>
        </w:rPr>
        <w:t>2</w:t>
      </w:r>
      <w:r w:rsidR="00157E23" w:rsidRPr="00707839">
        <w:rPr>
          <w:rFonts w:ascii="Calibri" w:hAnsi="Calibri"/>
          <w:sz w:val="20"/>
          <w:szCs w:val="20"/>
        </w:rPr>
        <w:t>1</w:t>
      </w:r>
      <w:r w:rsidRPr="00707839">
        <w:rPr>
          <w:rFonts w:ascii="Calibri" w:hAnsi="Calibri"/>
          <w:sz w:val="20"/>
          <w:szCs w:val="20"/>
        </w:rPr>
        <w:t xml:space="preserve">, publicado en el Diario oficial del Estado de Yucatán, se autorizó erogar la cantidad de </w:t>
      </w:r>
      <w:r w:rsidR="00F45988" w:rsidRPr="00707839">
        <w:rPr>
          <w:rFonts w:ascii="Calibri" w:hAnsi="Calibri"/>
          <w:sz w:val="20"/>
          <w:szCs w:val="20"/>
        </w:rPr>
        <w:t xml:space="preserve">         $</w:t>
      </w:r>
      <w:r w:rsidR="00157E23" w:rsidRPr="00707839">
        <w:rPr>
          <w:rFonts w:ascii="Calibri" w:hAnsi="Calibri"/>
          <w:sz w:val="20"/>
          <w:szCs w:val="20"/>
        </w:rPr>
        <w:t>31</w:t>
      </w:r>
      <w:proofErr w:type="gramStart"/>
      <w:r w:rsidR="00157E23" w:rsidRPr="00707839">
        <w:rPr>
          <w:rFonts w:ascii="Calibri" w:hAnsi="Calibri"/>
          <w:sz w:val="20"/>
          <w:szCs w:val="20"/>
        </w:rPr>
        <w:t>,075,863.00</w:t>
      </w:r>
      <w:proofErr w:type="gramEnd"/>
      <w:r w:rsidRPr="00707839">
        <w:rPr>
          <w:rFonts w:ascii="Calibri" w:hAnsi="Calibri"/>
          <w:sz w:val="20"/>
          <w:szCs w:val="20"/>
        </w:rPr>
        <w:t>, durante el ejercicio 202</w:t>
      </w:r>
      <w:r w:rsidR="00157E23" w:rsidRPr="00707839">
        <w:rPr>
          <w:rFonts w:ascii="Calibri" w:hAnsi="Calibri"/>
          <w:sz w:val="20"/>
          <w:szCs w:val="20"/>
        </w:rPr>
        <w:t>2</w:t>
      </w:r>
      <w:r w:rsidRPr="00707839">
        <w:rPr>
          <w:rFonts w:ascii="Calibri" w:hAnsi="Calibri"/>
          <w:sz w:val="20"/>
          <w:szCs w:val="20"/>
        </w:rPr>
        <w:t>. Por tal motivo, El Fideicomiso Garante de la Orquesta Sinfónica de Yucatán estimó recaudar los ingresos de la siguiente forma:</w:t>
      </w:r>
    </w:p>
    <w:p w:rsidR="00A47351" w:rsidRPr="00707839" w:rsidRDefault="00A47351" w:rsidP="00A47351">
      <w:pPr>
        <w:jc w:val="both"/>
        <w:rPr>
          <w:rFonts w:ascii="Calibri" w:hAnsi="Calibri"/>
          <w:sz w:val="20"/>
          <w:szCs w:val="20"/>
        </w:rPr>
      </w:pPr>
    </w:p>
    <w:p w:rsidR="00A47351" w:rsidRPr="00707839" w:rsidRDefault="00A47351" w:rsidP="00A47351">
      <w:pPr>
        <w:spacing w:line="360" w:lineRule="auto"/>
        <w:jc w:val="both"/>
        <w:rPr>
          <w:rFonts w:ascii="Calibri" w:hAnsi="Calibri"/>
          <w:sz w:val="20"/>
          <w:szCs w:val="20"/>
        </w:rPr>
      </w:pPr>
      <w:r w:rsidRPr="00707839">
        <w:rPr>
          <w:rFonts w:ascii="Calibri" w:hAnsi="Calibri"/>
          <w:sz w:val="20"/>
          <w:szCs w:val="20"/>
        </w:rPr>
        <w:t>A continuación, se presenta el presupuesto autorizado para el ejercicio 202</w:t>
      </w:r>
      <w:r w:rsidR="00CC566A" w:rsidRPr="00707839">
        <w:rPr>
          <w:rFonts w:ascii="Calibri" w:hAnsi="Calibri"/>
          <w:sz w:val="20"/>
          <w:szCs w:val="20"/>
        </w:rPr>
        <w:t>2</w:t>
      </w:r>
      <w:r w:rsidRPr="00707839">
        <w:rPr>
          <w:rFonts w:ascii="Calibri" w:hAnsi="Calibri"/>
          <w:sz w:val="20"/>
          <w:szCs w:val="20"/>
        </w:rPr>
        <w:t>:</w:t>
      </w:r>
    </w:p>
    <w:p w:rsidR="00A47351" w:rsidRPr="00707839" w:rsidRDefault="00A47351" w:rsidP="00A47351">
      <w:pPr>
        <w:spacing w:line="360" w:lineRule="auto"/>
        <w:jc w:val="both"/>
        <w:rPr>
          <w:rFonts w:ascii="Calibri" w:hAnsi="Calibri"/>
          <w:sz w:val="20"/>
          <w:szCs w:val="20"/>
        </w:rPr>
      </w:pPr>
    </w:p>
    <w:tbl>
      <w:tblPr>
        <w:tblW w:w="5685" w:type="dxa"/>
        <w:jc w:val="center"/>
        <w:tblCellMar>
          <w:left w:w="70" w:type="dxa"/>
          <w:right w:w="70" w:type="dxa"/>
        </w:tblCellMar>
        <w:tblLook w:val="04A0" w:firstRow="1" w:lastRow="0" w:firstColumn="1" w:lastColumn="0" w:noHBand="0" w:noVBand="1"/>
      </w:tblPr>
      <w:tblGrid>
        <w:gridCol w:w="3906"/>
        <w:gridCol w:w="1779"/>
      </w:tblGrid>
      <w:tr w:rsidR="00A47351" w:rsidRPr="00707839" w:rsidTr="00DB481A">
        <w:trPr>
          <w:trHeight w:val="525"/>
          <w:jc w:val="center"/>
        </w:trPr>
        <w:tc>
          <w:tcPr>
            <w:tcW w:w="390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47351" w:rsidRPr="00707839" w:rsidRDefault="00A47351" w:rsidP="006A1341">
            <w:pPr>
              <w:ind w:left="708" w:hanging="708"/>
              <w:jc w:val="center"/>
              <w:rPr>
                <w:rFonts w:ascii="Calibri" w:hAnsi="Calibri" w:cs="Calibri"/>
                <w:b/>
                <w:bCs/>
                <w:color w:val="000000"/>
                <w:sz w:val="20"/>
                <w:szCs w:val="20"/>
              </w:rPr>
            </w:pPr>
            <w:r w:rsidRPr="00707839">
              <w:rPr>
                <w:rFonts w:ascii="Calibri" w:hAnsi="Calibri" w:cs="Tahoma"/>
                <w:b/>
                <w:bCs/>
                <w:color w:val="000000"/>
                <w:sz w:val="20"/>
                <w:szCs w:val="20"/>
              </w:rPr>
              <w:lastRenderedPageBreak/>
              <w:t>F u e n t e    d e    I n g r e s o s</w:t>
            </w:r>
          </w:p>
        </w:tc>
        <w:tc>
          <w:tcPr>
            <w:tcW w:w="1779" w:type="dxa"/>
            <w:tcBorders>
              <w:top w:val="single" w:sz="8" w:space="0" w:color="auto"/>
              <w:left w:val="nil"/>
              <w:bottom w:val="single" w:sz="8" w:space="0" w:color="auto"/>
              <w:right w:val="single" w:sz="8" w:space="0" w:color="auto"/>
            </w:tcBorders>
            <w:shd w:val="clear" w:color="000000" w:fill="FFFFFF"/>
            <w:vAlign w:val="center"/>
            <w:hideMark/>
          </w:tcPr>
          <w:p w:rsidR="00A47351" w:rsidRPr="00707839" w:rsidRDefault="00A47351" w:rsidP="00DB481A">
            <w:pPr>
              <w:jc w:val="center"/>
              <w:rPr>
                <w:rFonts w:ascii="Calibri" w:hAnsi="Calibri" w:cs="Calibri"/>
                <w:b/>
                <w:bCs/>
                <w:color w:val="000000"/>
                <w:sz w:val="20"/>
                <w:szCs w:val="20"/>
              </w:rPr>
            </w:pPr>
            <w:r w:rsidRPr="00707839">
              <w:rPr>
                <w:rFonts w:ascii="Calibri" w:hAnsi="Calibri" w:cs="Tahoma"/>
                <w:b/>
                <w:bCs/>
                <w:color w:val="000000"/>
                <w:sz w:val="20"/>
                <w:szCs w:val="20"/>
              </w:rPr>
              <w:t>Ley de Ingresos Estimada</w:t>
            </w:r>
          </w:p>
        </w:tc>
      </w:tr>
      <w:tr w:rsidR="00A47351" w:rsidRPr="00707839" w:rsidTr="00DB481A">
        <w:trPr>
          <w:trHeight w:val="1020"/>
          <w:jc w:val="center"/>
        </w:trPr>
        <w:tc>
          <w:tcPr>
            <w:tcW w:w="3906" w:type="dxa"/>
            <w:tcBorders>
              <w:top w:val="nil"/>
              <w:left w:val="nil"/>
              <w:bottom w:val="nil"/>
              <w:right w:val="nil"/>
            </w:tcBorders>
            <w:shd w:val="clear" w:color="000000" w:fill="FFFFFF"/>
            <w:vAlign w:val="center"/>
            <w:hideMark/>
          </w:tcPr>
          <w:p w:rsidR="00A47351" w:rsidRPr="00707839" w:rsidRDefault="00A47351" w:rsidP="00DB481A">
            <w:pPr>
              <w:rPr>
                <w:rFonts w:ascii="Calibri" w:hAnsi="Calibri" w:cs="Calibri"/>
                <w:b/>
                <w:bCs/>
                <w:color w:val="000000"/>
                <w:sz w:val="20"/>
                <w:szCs w:val="20"/>
                <w:u w:val="single"/>
              </w:rPr>
            </w:pPr>
            <w:r w:rsidRPr="00707839">
              <w:rPr>
                <w:rFonts w:ascii="Calibri" w:hAnsi="Calibri" w:cs="Tahoma"/>
                <w:b/>
                <w:bCs/>
                <w:color w:val="000000"/>
                <w:sz w:val="20"/>
                <w:szCs w:val="20"/>
                <w:u w:val="single"/>
              </w:rPr>
              <w:t>INGRESOS POR VENTA DE BIENES Y SERVICIOS DE ORGANISMOS DESCENTRALIZADOS</w:t>
            </w:r>
          </w:p>
        </w:tc>
        <w:tc>
          <w:tcPr>
            <w:tcW w:w="1779" w:type="dxa"/>
            <w:tcBorders>
              <w:top w:val="nil"/>
              <w:left w:val="nil"/>
              <w:bottom w:val="nil"/>
              <w:right w:val="nil"/>
            </w:tcBorders>
            <w:shd w:val="clear" w:color="000000" w:fill="FFFFFF"/>
            <w:vAlign w:val="center"/>
            <w:hideMark/>
          </w:tcPr>
          <w:p w:rsidR="00A47351" w:rsidRPr="00707839" w:rsidRDefault="00A47351" w:rsidP="00DB481A">
            <w:pPr>
              <w:jc w:val="right"/>
              <w:rPr>
                <w:rFonts w:ascii="Calibri" w:hAnsi="Calibri" w:cs="Calibri"/>
                <w:color w:val="000000"/>
                <w:sz w:val="20"/>
                <w:szCs w:val="20"/>
              </w:rPr>
            </w:pPr>
            <w:r w:rsidRPr="00707839">
              <w:rPr>
                <w:rFonts w:ascii="Calibri" w:hAnsi="Calibri" w:cs="Tahoma"/>
                <w:color w:val="000000"/>
                <w:sz w:val="20"/>
                <w:szCs w:val="20"/>
              </w:rPr>
              <w:t> </w:t>
            </w:r>
          </w:p>
        </w:tc>
      </w:tr>
      <w:tr w:rsidR="00A47351" w:rsidRPr="00707839" w:rsidTr="00DB481A">
        <w:trPr>
          <w:trHeight w:val="510"/>
          <w:jc w:val="center"/>
        </w:trPr>
        <w:tc>
          <w:tcPr>
            <w:tcW w:w="3906" w:type="dxa"/>
            <w:tcBorders>
              <w:top w:val="nil"/>
              <w:left w:val="nil"/>
              <w:bottom w:val="nil"/>
              <w:right w:val="nil"/>
            </w:tcBorders>
            <w:shd w:val="clear" w:color="000000" w:fill="FFFFFF"/>
            <w:vAlign w:val="center"/>
            <w:hideMark/>
          </w:tcPr>
          <w:p w:rsidR="00A47351" w:rsidRPr="00707839" w:rsidRDefault="00A47351" w:rsidP="00DB481A">
            <w:pPr>
              <w:rPr>
                <w:rFonts w:ascii="Calibri" w:hAnsi="Calibri" w:cs="Calibri"/>
                <w:color w:val="000000"/>
                <w:sz w:val="20"/>
                <w:szCs w:val="20"/>
              </w:rPr>
            </w:pPr>
            <w:r w:rsidRPr="00707839">
              <w:rPr>
                <w:rFonts w:ascii="Calibri" w:hAnsi="Calibri" w:cs="Tahoma"/>
                <w:color w:val="000000"/>
                <w:sz w:val="20"/>
                <w:szCs w:val="20"/>
              </w:rPr>
              <w:t>Ingreso por venta de localidades de la OSY</w:t>
            </w:r>
          </w:p>
        </w:tc>
        <w:tc>
          <w:tcPr>
            <w:tcW w:w="1779" w:type="dxa"/>
            <w:tcBorders>
              <w:top w:val="nil"/>
              <w:left w:val="nil"/>
              <w:bottom w:val="nil"/>
              <w:right w:val="nil"/>
            </w:tcBorders>
            <w:shd w:val="clear" w:color="000000" w:fill="FFFFFF"/>
            <w:vAlign w:val="center"/>
            <w:hideMark/>
          </w:tcPr>
          <w:p w:rsidR="00A47351" w:rsidRPr="00707839" w:rsidRDefault="00A47351" w:rsidP="00DB481A">
            <w:pPr>
              <w:jc w:val="right"/>
              <w:rPr>
                <w:rFonts w:ascii="Calibri" w:hAnsi="Calibri" w:cs="Calibri"/>
                <w:color w:val="000000"/>
                <w:sz w:val="20"/>
                <w:szCs w:val="20"/>
              </w:rPr>
            </w:pPr>
          </w:p>
        </w:tc>
      </w:tr>
      <w:tr w:rsidR="00A47351" w:rsidRPr="00707839" w:rsidTr="00DB481A">
        <w:trPr>
          <w:trHeight w:val="300"/>
          <w:jc w:val="center"/>
        </w:trPr>
        <w:tc>
          <w:tcPr>
            <w:tcW w:w="3906" w:type="dxa"/>
            <w:tcBorders>
              <w:top w:val="nil"/>
              <w:left w:val="nil"/>
              <w:bottom w:val="nil"/>
              <w:right w:val="nil"/>
            </w:tcBorders>
            <w:shd w:val="clear" w:color="000000" w:fill="FFFFFF"/>
            <w:vAlign w:val="center"/>
            <w:hideMark/>
          </w:tcPr>
          <w:p w:rsidR="00A47351" w:rsidRPr="00707839" w:rsidRDefault="00A47351" w:rsidP="00DB481A">
            <w:pPr>
              <w:rPr>
                <w:rFonts w:ascii="Calibri" w:hAnsi="Calibri" w:cs="Calibri"/>
                <w:color w:val="000000"/>
                <w:sz w:val="20"/>
                <w:szCs w:val="20"/>
              </w:rPr>
            </w:pPr>
            <w:r w:rsidRPr="00707839">
              <w:rPr>
                <w:rFonts w:ascii="Calibri" w:hAnsi="Calibri" w:cs="Tahoma"/>
                <w:color w:val="000000"/>
                <w:sz w:val="20"/>
                <w:szCs w:val="20"/>
              </w:rPr>
              <w:t>Temporada XXXV</w:t>
            </w:r>
            <w:r w:rsidR="001F3941" w:rsidRPr="00707839">
              <w:rPr>
                <w:rFonts w:ascii="Calibri" w:hAnsi="Calibri" w:cs="Tahoma"/>
                <w:color w:val="000000"/>
                <w:sz w:val="20"/>
                <w:szCs w:val="20"/>
              </w:rPr>
              <w:t>II</w:t>
            </w:r>
          </w:p>
        </w:tc>
        <w:tc>
          <w:tcPr>
            <w:tcW w:w="1779" w:type="dxa"/>
            <w:tcBorders>
              <w:top w:val="nil"/>
              <w:left w:val="nil"/>
              <w:bottom w:val="nil"/>
              <w:right w:val="nil"/>
            </w:tcBorders>
            <w:shd w:val="clear" w:color="000000" w:fill="FFFFFF"/>
            <w:vAlign w:val="center"/>
            <w:hideMark/>
          </w:tcPr>
          <w:p w:rsidR="00A47351" w:rsidRPr="00707839" w:rsidRDefault="00A47351" w:rsidP="00157E23">
            <w:pPr>
              <w:jc w:val="right"/>
              <w:rPr>
                <w:rFonts w:ascii="Calibri" w:hAnsi="Calibri" w:cs="Calibri"/>
                <w:color w:val="000000"/>
                <w:sz w:val="20"/>
                <w:szCs w:val="20"/>
              </w:rPr>
            </w:pPr>
            <w:r w:rsidRPr="00707839">
              <w:rPr>
                <w:rFonts w:ascii="Calibri" w:hAnsi="Calibri" w:cs="Tahoma"/>
                <w:color w:val="000000"/>
                <w:sz w:val="20"/>
                <w:szCs w:val="20"/>
              </w:rPr>
              <w:t>$</w:t>
            </w:r>
            <w:r w:rsidR="00157E23" w:rsidRPr="00707839">
              <w:rPr>
                <w:rFonts w:ascii="Calibri" w:hAnsi="Calibri" w:cs="Tahoma"/>
                <w:color w:val="000000"/>
                <w:sz w:val="20"/>
                <w:szCs w:val="20"/>
              </w:rPr>
              <w:t>7,051,041.00</w:t>
            </w:r>
          </w:p>
        </w:tc>
      </w:tr>
      <w:tr w:rsidR="00A47351" w:rsidRPr="00707839" w:rsidTr="00DB481A">
        <w:trPr>
          <w:trHeight w:val="315"/>
          <w:jc w:val="center"/>
        </w:trPr>
        <w:tc>
          <w:tcPr>
            <w:tcW w:w="3906" w:type="dxa"/>
            <w:tcBorders>
              <w:top w:val="nil"/>
              <w:left w:val="nil"/>
              <w:bottom w:val="nil"/>
              <w:right w:val="nil"/>
            </w:tcBorders>
            <w:shd w:val="clear" w:color="000000" w:fill="FFFFFF"/>
            <w:vAlign w:val="center"/>
            <w:hideMark/>
          </w:tcPr>
          <w:p w:rsidR="00A47351" w:rsidRPr="00707839" w:rsidRDefault="00A47351" w:rsidP="00DB481A">
            <w:pPr>
              <w:rPr>
                <w:rFonts w:ascii="Calibri" w:hAnsi="Calibri" w:cs="Calibri"/>
                <w:color w:val="000000"/>
                <w:sz w:val="20"/>
                <w:szCs w:val="20"/>
              </w:rPr>
            </w:pPr>
            <w:r w:rsidRPr="00707839">
              <w:rPr>
                <w:rFonts w:ascii="Calibri" w:hAnsi="Calibri" w:cs="Tahoma"/>
                <w:color w:val="000000"/>
                <w:sz w:val="20"/>
                <w:szCs w:val="20"/>
              </w:rPr>
              <w:t>Temporada XXXVI</w:t>
            </w:r>
            <w:r w:rsidR="001F3941" w:rsidRPr="00707839">
              <w:rPr>
                <w:rFonts w:ascii="Calibri" w:hAnsi="Calibri" w:cs="Tahoma"/>
                <w:color w:val="000000"/>
                <w:sz w:val="20"/>
                <w:szCs w:val="20"/>
              </w:rPr>
              <w:t>III</w:t>
            </w:r>
          </w:p>
        </w:tc>
        <w:tc>
          <w:tcPr>
            <w:tcW w:w="1779" w:type="dxa"/>
            <w:tcBorders>
              <w:top w:val="nil"/>
              <w:left w:val="nil"/>
              <w:bottom w:val="single" w:sz="8" w:space="0" w:color="auto"/>
              <w:right w:val="nil"/>
            </w:tcBorders>
            <w:shd w:val="clear" w:color="000000" w:fill="FFFFFF"/>
            <w:vAlign w:val="center"/>
            <w:hideMark/>
          </w:tcPr>
          <w:p w:rsidR="00A47351" w:rsidRPr="00707839" w:rsidRDefault="00157E23" w:rsidP="00DB481A">
            <w:pPr>
              <w:jc w:val="right"/>
              <w:rPr>
                <w:rFonts w:ascii="Calibri" w:hAnsi="Calibri" w:cs="Calibri"/>
                <w:color w:val="000000"/>
                <w:sz w:val="20"/>
                <w:szCs w:val="20"/>
              </w:rPr>
            </w:pPr>
            <w:r w:rsidRPr="00707839">
              <w:rPr>
                <w:rFonts w:ascii="Calibri" w:hAnsi="Calibri" w:cs="Calibri"/>
                <w:color w:val="000000"/>
                <w:sz w:val="20"/>
                <w:szCs w:val="20"/>
              </w:rPr>
              <w:t>6,919,822.00</w:t>
            </w:r>
          </w:p>
        </w:tc>
      </w:tr>
      <w:tr w:rsidR="00A47351" w:rsidRPr="00707839" w:rsidTr="00DB481A">
        <w:trPr>
          <w:trHeight w:val="525"/>
          <w:jc w:val="center"/>
        </w:trPr>
        <w:tc>
          <w:tcPr>
            <w:tcW w:w="3906" w:type="dxa"/>
            <w:tcBorders>
              <w:top w:val="nil"/>
              <w:left w:val="nil"/>
              <w:bottom w:val="nil"/>
              <w:right w:val="nil"/>
            </w:tcBorders>
            <w:shd w:val="clear" w:color="000000" w:fill="FFFFFF"/>
            <w:vAlign w:val="center"/>
            <w:hideMark/>
          </w:tcPr>
          <w:p w:rsidR="00A47351" w:rsidRPr="00707839" w:rsidRDefault="00A47351" w:rsidP="00DB481A">
            <w:pPr>
              <w:rPr>
                <w:rFonts w:ascii="Calibri" w:hAnsi="Calibri" w:cs="Calibri"/>
                <w:color w:val="000000"/>
                <w:sz w:val="20"/>
                <w:szCs w:val="20"/>
              </w:rPr>
            </w:pPr>
            <w:r w:rsidRPr="00707839">
              <w:rPr>
                <w:rFonts w:ascii="Calibri" w:hAnsi="Calibri" w:cs="Tahoma"/>
                <w:color w:val="000000"/>
                <w:sz w:val="20"/>
                <w:szCs w:val="20"/>
              </w:rPr>
              <w:t>Suma Ingreso por venta de localidades de la OSY</w:t>
            </w:r>
          </w:p>
        </w:tc>
        <w:tc>
          <w:tcPr>
            <w:tcW w:w="1779" w:type="dxa"/>
            <w:tcBorders>
              <w:top w:val="nil"/>
              <w:left w:val="nil"/>
              <w:bottom w:val="dashed" w:sz="8" w:space="0" w:color="auto"/>
              <w:right w:val="nil"/>
            </w:tcBorders>
            <w:shd w:val="clear" w:color="000000" w:fill="FFFFFF"/>
            <w:vAlign w:val="center"/>
            <w:hideMark/>
          </w:tcPr>
          <w:p w:rsidR="00A47351" w:rsidRPr="00707839" w:rsidRDefault="00A47351" w:rsidP="00157E23">
            <w:pPr>
              <w:jc w:val="right"/>
              <w:rPr>
                <w:rFonts w:ascii="Calibri" w:hAnsi="Calibri" w:cs="Calibri"/>
                <w:color w:val="000000"/>
                <w:sz w:val="20"/>
                <w:szCs w:val="20"/>
              </w:rPr>
            </w:pPr>
            <w:r w:rsidRPr="00707839">
              <w:rPr>
                <w:rFonts w:ascii="Calibri" w:hAnsi="Calibri" w:cs="Tahoma"/>
                <w:color w:val="000000"/>
                <w:sz w:val="20"/>
                <w:szCs w:val="20"/>
              </w:rPr>
              <w:t>$</w:t>
            </w:r>
            <w:r w:rsidR="00157E23" w:rsidRPr="00707839">
              <w:rPr>
                <w:rFonts w:ascii="Calibri" w:hAnsi="Calibri" w:cs="Tahoma"/>
                <w:color w:val="000000"/>
                <w:sz w:val="20"/>
                <w:szCs w:val="20"/>
              </w:rPr>
              <w:t>13,970,863.00</w:t>
            </w:r>
          </w:p>
        </w:tc>
      </w:tr>
      <w:tr w:rsidR="00A47351" w:rsidRPr="00707839" w:rsidTr="00DB481A">
        <w:trPr>
          <w:trHeight w:val="510"/>
          <w:jc w:val="center"/>
        </w:trPr>
        <w:tc>
          <w:tcPr>
            <w:tcW w:w="3906" w:type="dxa"/>
            <w:tcBorders>
              <w:top w:val="nil"/>
              <w:left w:val="nil"/>
              <w:bottom w:val="nil"/>
              <w:right w:val="nil"/>
            </w:tcBorders>
            <w:shd w:val="clear" w:color="000000" w:fill="FFFFFF"/>
            <w:vAlign w:val="center"/>
            <w:hideMark/>
          </w:tcPr>
          <w:p w:rsidR="00A47351" w:rsidRPr="00707839" w:rsidRDefault="00A47351" w:rsidP="00DB481A">
            <w:pPr>
              <w:rPr>
                <w:rFonts w:ascii="Calibri" w:hAnsi="Calibri" w:cs="Calibri"/>
                <w:color w:val="000000"/>
                <w:sz w:val="20"/>
                <w:szCs w:val="20"/>
              </w:rPr>
            </w:pPr>
            <w:r w:rsidRPr="00707839">
              <w:rPr>
                <w:rFonts w:ascii="Calibri" w:hAnsi="Calibri" w:cs="Tahoma"/>
                <w:color w:val="000000"/>
                <w:sz w:val="20"/>
                <w:szCs w:val="20"/>
              </w:rPr>
              <w:t>Intereses ganados de valores</w:t>
            </w:r>
          </w:p>
        </w:tc>
        <w:tc>
          <w:tcPr>
            <w:tcW w:w="1779" w:type="dxa"/>
            <w:tcBorders>
              <w:top w:val="nil"/>
              <w:left w:val="nil"/>
              <w:bottom w:val="nil"/>
              <w:right w:val="nil"/>
            </w:tcBorders>
            <w:shd w:val="clear" w:color="000000" w:fill="FFFFFF"/>
            <w:vAlign w:val="center"/>
            <w:hideMark/>
          </w:tcPr>
          <w:p w:rsidR="00A47351" w:rsidRPr="00707839" w:rsidRDefault="00A47351" w:rsidP="00DB481A">
            <w:pPr>
              <w:rPr>
                <w:rFonts w:ascii="Calibri" w:hAnsi="Calibri" w:cs="Calibri"/>
                <w:color w:val="000000"/>
                <w:sz w:val="20"/>
                <w:szCs w:val="20"/>
              </w:rPr>
            </w:pPr>
            <w:r w:rsidRPr="00707839">
              <w:rPr>
                <w:rFonts w:ascii="Calibri" w:hAnsi="Calibri" w:cs="Tahoma"/>
                <w:color w:val="000000"/>
                <w:sz w:val="20"/>
                <w:szCs w:val="20"/>
              </w:rPr>
              <w:t> </w:t>
            </w:r>
          </w:p>
        </w:tc>
      </w:tr>
      <w:tr w:rsidR="00A47351" w:rsidRPr="00707839" w:rsidTr="00DB481A">
        <w:trPr>
          <w:trHeight w:val="510"/>
          <w:jc w:val="center"/>
        </w:trPr>
        <w:tc>
          <w:tcPr>
            <w:tcW w:w="3906" w:type="dxa"/>
            <w:tcBorders>
              <w:top w:val="nil"/>
              <w:left w:val="nil"/>
              <w:bottom w:val="nil"/>
              <w:right w:val="nil"/>
            </w:tcBorders>
            <w:shd w:val="clear" w:color="000000" w:fill="FFFFFF"/>
            <w:vAlign w:val="center"/>
            <w:hideMark/>
          </w:tcPr>
          <w:p w:rsidR="00A47351" w:rsidRPr="00707839" w:rsidRDefault="00A47351" w:rsidP="00DB481A">
            <w:pPr>
              <w:rPr>
                <w:rFonts w:ascii="Calibri" w:hAnsi="Calibri" w:cs="Calibri"/>
                <w:color w:val="000000"/>
                <w:sz w:val="20"/>
                <w:szCs w:val="20"/>
              </w:rPr>
            </w:pPr>
            <w:r w:rsidRPr="00707839">
              <w:rPr>
                <w:rFonts w:ascii="Calibri" w:hAnsi="Calibri" w:cs="Tahoma"/>
                <w:color w:val="000000"/>
                <w:sz w:val="20"/>
                <w:szCs w:val="20"/>
              </w:rPr>
              <w:t xml:space="preserve">Rendimiento </w:t>
            </w:r>
            <w:proofErr w:type="spellStart"/>
            <w:r w:rsidRPr="00707839">
              <w:rPr>
                <w:rFonts w:ascii="Calibri" w:hAnsi="Calibri" w:cs="Tahoma"/>
                <w:color w:val="000000"/>
                <w:sz w:val="20"/>
                <w:szCs w:val="20"/>
              </w:rPr>
              <w:t>Nafin</w:t>
            </w:r>
            <w:proofErr w:type="spellEnd"/>
            <w:r w:rsidRPr="00707839">
              <w:rPr>
                <w:rFonts w:ascii="Calibri" w:hAnsi="Calibri" w:cs="Tahoma"/>
                <w:color w:val="000000"/>
                <w:sz w:val="20"/>
                <w:szCs w:val="20"/>
              </w:rPr>
              <w:t xml:space="preserve"> Concentradora</w:t>
            </w:r>
          </w:p>
        </w:tc>
        <w:tc>
          <w:tcPr>
            <w:tcW w:w="1779" w:type="dxa"/>
            <w:tcBorders>
              <w:top w:val="nil"/>
              <w:left w:val="nil"/>
              <w:bottom w:val="nil"/>
              <w:right w:val="nil"/>
            </w:tcBorders>
            <w:shd w:val="clear" w:color="000000" w:fill="FFFFFF"/>
            <w:vAlign w:val="center"/>
            <w:hideMark/>
          </w:tcPr>
          <w:p w:rsidR="00A47351" w:rsidRPr="00707839" w:rsidRDefault="00A47351" w:rsidP="00DB481A">
            <w:pPr>
              <w:jc w:val="right"/>
              <w:rPr>
                <w:rFonts w:ascii="Calibri" w:hAnsi="Calibri" w:cs="Calibri"/>
                <w:color w:val="000000"/>
                <w:sz w:val="20"/>
                <w:szCs w:val="20"/>
              </w:rPr>
            </w:pPr>
            <w:r w:rsidRPr="00707839">
              <w:rPr>
                <w:rFonts w:ascii="Calibri" w:hAnsi="Calibri" w:cs="Tahoma"/>
                <w:color w:val="000000"/>
                <w:sz w:val="20"/>
                <w:szCs w:val="20"/>
              </w:rPr>
              <w:t>$60,150.00</w:t>
            </w:r>
          </w:p>
        </w:tc>
      </w:tr>
      <w:tr w:rsidR="00A47351" w:rsidRPr="00707839" w:rsidTr="00DB481A">
        <w:trPr>
          <w:trHeight w:val="300"/>
          <w:jc w:val="center"/>
        </w:trPr>
        <w:tc>
          <w:tcPr>
            <w:tcW w:w="3906" w:type="dxa"/>
            <w:tcBorders>
              <w:top w:val="nil"/>
              <w:left w:val="nil"/>
              <w:bottom w:val="nil"/>
              <w:right w:val="nil"/>
            </w:tcBorders>
            <w:shd w:val="clear" w:color="000000" w:fill="FFFFFF"/>
            <w:vAlign w:val="center"/>
            <w:hideMark/>
          </w:tcPr>
          <w:p w:rsidR="00A47351" w:rsidRPr="00707839" w:rsidRDefault="00A47351" w:rsidP="00DB481A">
            <w:pPr>
              <w:rPr>
                <w:rFonts w:ascii="Calibri" w:hAnsi="Calibri" w:cs="Calibri"/>
                <w:color w:val="000000"/>
                <w:sz w:val="20"/>
                <w:szCs w:val="20"/>
              </w:rPr>
            </w:pPr>
            <w:r w:rsidRPr="00707839">
              <w:rPr>
                <w:rFonts w:ascii="Calibri" w:hAnsi="Calibri" w:cs="Tahoma"/>
                <w:color w:val="000000"/>
                <w:sz w:val="20"/>
                <w:szCs w:val="20"/>
              </w:rPr>
              <w:t>Rendimiento Gastos Corriente</w:t>
            </w:r>
          </w:p>
        </w:tc>
        <w:tc>
          <w:tcPr>
            <w:tcW w:w="1779" w:type="dxa"/>
            <w:tcBorders>
              <w:top w:val="nil"/>
              <w:left w:val="nil"/>
              <w:bottom w:val="nil"/>
              <w:right w:val="nil"/>
            </w:tcBorders>
            <w:shd w:val="clear" w:color="000000" w:fill="FFFFFF"/>
            <w:vAlign w:val="center"/>
            <w:hideMark/>
          </w:tcPr>
          <w:p w:rsidR="00A47351" w:rsidRPr="00707839" w:rsidRDefault="00A47351" w:rsidP="00DB481A">
            <w:pPr>
              <w:jc w:val="right"/>
              <w:rPr>
                <w:rFonts w:ascii="Calibri" w:hAnsi="Calibri" w:cs="Calibri"/>
                <w:color w:val="000000"/>
                <w:sz w:val="20"/>
                <w:szCs w:val="20"/>
              </w:rPr>
            </w:pPr>
            <w:r w:rsidRPr="00707839">
              <w:rPr>
                <w:rFonts w:ascii="Calibri" w:hAnsi="Calibri" w:cs="Tahoma"/>
                <w:color w:val="000000"/>
                <w:sz w:val="20"/>
                <w:szCs w:val="20"/>
              </w:rPr>
              <w:t>2,500.00</w:t>
            </w:r>
          </w:p>
        </w:tc>
      </w:tr>
      <w:tr w:rsidR="00A47351" w:rsidRPr="00707839" w:rsidTr="00DB481A">
        <w:trPr>
          <w:trHeight w:val="315"/>
          <w:jc w:val="center"/>
        </w:trPr>
        <w:tc>
          <w:tcPr>
            <w:tcW w:w="3906" w:type="dxa"/>
            <w:tcBorders>
              <w:top w:val="nil"/>
              <w:left w:val="nil"/>
              <w:bottom w:val="nil"/>
              <w:right w:val="nil"/>
            </w:tcBorders>
            <w:shd w:val="clear" w:color="000000" w:fill="FFFFFF"/>
            <w:vAlign w:val="center"/>
            <w:hideMark/>
          </w:tcPr>
          <w:p w:rsidR="00A47351" w:rsidRPr="00707839" w:rsidRDefault="00A47351" w:rsidP="00DB481A">
            <w:pPr>
              <w:rPr>
                <w:rFonts w:ascii="Calibri" w:hAnsi="Calibri" w:cs="Calibri"/>
                <w:color w:val="000000"/>
                <w:sz w:val="20"/>
                <w:szCs w:val="20"/>
              </w:rPr>
            </w:pPr>
            <w:r w:rsidRPr="00707839">
              <w:rPr>
                <w:rFonts w:ascii="Calibri" w:hAnsi="Calibri" w:cs="Tahoma"/>
                <w:color w:val="000000"/>
                <w:sz w:val="20"/>
                <w:szCs w:val="20"/>
              </w:rPr>
              <w:t>Rendimiento Nomina</w:t>
            </w:r>
          </w:p>
        </w:tc>
        <w:tc>
          <w:tcPr>
            <w:tcW w:w="1779" w:type="dxa"/>
            <w:tcBorders>
              <w:top w:val="nil"/>
              <w:left w:val="nil"/>
              <w:bottom w:val="nil"/>
              <w:right w:val="nil"/>
            </w:tcBorders>
            <w:shd w:val="clear" w:color="000000" w:fill="FFFFFF"/>
            <w:vAlign w:val="center"/>
            <w:hideMark/>
          </w:tcPr>
          <w:p w:rsidR="00A47351" w:rsidRPr="00707839" w:rsidRDefault="00A47351" w:rsidP="00DB481A">
            <w:pPr>
              <w:jc w:val="right"/>
              <w:rPr>
                <w:rFonts w:ascii="Calibri" w:hAnsi="Calibri" w:cs="Calibri"/>
                <w:color w:val="000000"/>
                <w:sz w:val="20"/>
                <w:szCs w:val="20"/>
              </w:rPr>
            </w:pPr>
            <w:r w:rsidRPr="00707839">
              <w:rPr>
                <w:rFonts w:ascii="Calibri" w:hAnsi="Calibri" w:cs="Tahoma"/>
                <w:color w:val="000000"/>
                <w:sz w:val="20"/>
                <w:szCs w:val="20"/>
              </w:rPr>
              <w:t xml:space="preserve">                             350.00 </w:t>
            </w:r>
          </w:p>
        </w:tc>
      </w:tr>
      <w:tr w:rsidR="00A47351" w:rsidRPr="00707839" w:rsidTr="00DB481A">
        <w:trPr>
          <w:trHeight w:val="525"/>
          <w:jc w:val="center"/>
        </w:trPr>
        <w:tc>
          <w:tcPr>
            <w:tcW w:w="3906" w:type="dxa"/>
            <w:tcBorders>
              <w:top w:val="nil"/>
              <w:left w:val="nil"/>
              <w:bottom w:val="nil"/>
              <w:right w:val="nil"/>
            </w:tcBorders>
            <w:shd w:val="clear" w:color="000000" w:fill="FFFFFF"/>
            <w:vAlign w:val="center"/>
            <w:hideMark/>
          </w:tcPr>
          <w:p w:rsidR="00A47351" w:rsidRPr="00707839" w:rsidRDefault="00A47351" w:rsidP="00DB481A">
            <w:pPr>
              <w:rPr>
                <w:rFonts w:ascii="Calibri" w:hAnsi="Calibri" w:cs="Calibri"/>
                <w:color w:val="000000"/>
                <w:sz w:val="20"/>
                <w:szCs w:val="20"/>
              </w:rPr>
            </w:pPr>
            <w:r w:rsidRPr="00707839">
              <w:rPr>
                <w:rFonts w:ascii="Calibri" w:hAnsi="Calibri" w:cs="Tahoma"/>
                <w:color w:val="000000"/>
                <w:sz w:val="20"/>
                <w:szCs w:val="20"/>
              </w:rPr>
              <w:t>Suma Intereses ganados de valores</w:t>
            </w:r>
          </w:p>
        </w:tc>
        <w:tc>
          <w:tcPr>
            <w:tcW w:w="1779" w:type="dxa"/>
            <w:tcBorders>
              <w:top w:val="single" w:sz="8" w:space="0" w:color="auto"/>
              <w:left w:val="nil"/>
              <w:bottom w:val="dashed" w:sz="8" w:space="0" w:color="auto"/>
              <w:right w:val="nil"/>
            </w:tcBorders>
            <w:shd w:val="clear" w:color="000000" w:fill="FFFFFF"/>
            <w:vAlign w:val="center"/>
            <w:hideMark/>
          </w:tcPr>
          <w:p w:rsidR="00A47351" w:rsidRPr="00707839" w:rsidRDefault="00A47351" w:rsidP="00DB481A">
            <w:pPr>
              <w:jc w:val="right"/>
              <w:rPr>
                <w:rFonts w:ascii="Calibri" w:hAnsi="Calibri" w:cs="Calibri"/>
                <w:color w:val="000000"/>
                <w:sz w:val="20"/>
                <w:szCs w:val="20"/>
              </w:rPr>
            </w:pPr>
            <w:r w:rsidRPr="00707839">
              <w:rPr>
                <w:rFonts w:ascii="Calibri" w:hAnsi="Calibri" w:cs="Tahoma"/>
                <w:color w:val="000000"/>
                <w:sz w:val="20"/>
                <w:szCs w:val="20"/>
              </w:rPr>
              <w:t>$63,000.00</w:t>
            </w:r>
          </w:p>
        </w:tc>
      </w:tr>
      <w:tr w:rsidR="00A47351" w:rsidRPr="00707839" w:rsidTr="00DB481A">
        <w:trPr>
          <w:trHeight w:val="300"/>
          <w:jc w:val="center"/>
        </w:trPr>
        <w:tc>
          <w:tcPr>
            <w:tcW w:w="3906" w:type="dxa"/>
            <w:tcBorders>
              <w:top w:val="nil"/>
              <w:left w:val="nil"/>
              <w:bottom w:val="nil"/>
              <w:right w:val="nil"/>
            </w:tcBorders>
            <w:shd w:val="clear" w:color="000000" w:fill="FFFFFF"/>
            <w:vAlign w:val="center"/>
            <w:hideMark/>
          </w:tcPr>
          <w:p w:rsidR="00A47351" w:rsidRPr="00707839" w:rsidRDefault="00A47351" w:rsidP="00DB481A">
            <w:pPr>
              <w:rPr>
                <w:rFonts w:ascii="Calibri" w:hAnsi="Calibri" w:cs="Calibri"/>
                <w:color w:val="000000"/>
                <w:sz w:val="20"/>
                <w:szCs w:val="20"/>
              </w:rPr>
            </w:pPr>
            <w:r w:rsidRPr="00707839">
              <w:rPr>
                <w:rFonts w:ascii="Calibri" w:hAnsi="Calibri" w:cs="Tahoma"/>
                <w:color w:val="000000"/>
                <w:sz w:val="20"/>
                <w:szCs w:val="20"/>
              </w:rPr>
              <w:t>Otros ingresos</w:t>
            </w:r>
          </w:p>
        </w:tc>
        <w:tc>
          <w:tcPr>
            <w:tcW w:w="1779" w:type="dxa"/>
            <w:tcBorders>
              <w:top w:val="nil"/>
              <w:left w:val="nil"/>
              <w:bottom w:val="nil"/>
              <w:right w:val="nil"/>
            </w:tcBorders>
            <w:shd w:val="clear" w:color="000000" w:fill="FFFFFF"/>
            <w:vAlign w:val="center"/>
            <w:hideMark/>
          </w:tcPr>
          <w:p w:rsidR="00A47351" w:rsidRPr="00707839" w:rsidRDefault="00A47351" w:rsidP="00DB481A">
            <w:pPr>
              <w:jc w:val="right"/>
              <w:rPr>
                <w:rFonts w:ascii="Calibri" w:hAnsi="Calibri" w:cs="Calibri"/>
                <w:color w:val="000000"/>
                <w:sz w:val="20"/>
                <w:szCs w:val="20"/>
              </w:rPr>
            </w:pPr>
            <w:r w:rsidRPr="00707839">
              <w:rPr>
                <w:rFonts w:ascii="Calibri" w:hAnsi="Calibri" w:cs="Tahoma"/>
                <w:color w:val="000000"/>
                <w:sz w:val="20"/>
                <w:szCs w:val="20"/>
              </w:rPr>
              <w:t> </w:t>
            </w:r>
          </w:p>
        </w:tc>
      </w:tr>
      <w:tr w:rsidR="00A47351" w:rsidRPr="00707839" w:rsidTr="00DB481A">
        <w:trPr>
          <w:trHeight w:val="300"/>
          <w:jc w:val="center"/>
        </w:trPr>
        <w:tc>
          <w:tcPr>
            <w:tcW w:w="3906" w:type="dxa"/>
            <w:tcBorders>
              <w:top w:val="nil"/>
              <w:left w:val="nil"/>
              <w:bottom w:val="nil"/>
              <w:right w:val="nil"/>
            </w:tcBorders>
            <w:shd w:val="clear" w:color="000000" w:fill="FFFFFF"/>
            <w:vAlign w:val="center"/>
            <w:hideMark/>
          </w:tcPr>
          <w:p w:rsidR="00A47351" w:rsidRPr="00707839" w:rsidRDefault="00A47351" w:rsidP="00DB481A">
            <w:pPr>
              <w:rPr>
                <w:rFonts w:ascii="Calibri" w:hAnsi="Calibri" w:cs="Calibri"/>
                <w:color w:val="000000"/>
                <w:sz w:val="20"/>
                <w:szCs w:val="20"/>
              </w:rPr>
            </w:pPr>
            <w:r w:rsidRPr="00707839">
              <w:rPr>
                <w:rFonts w:ascii="Calibri" w:hAnsi="Calibri" w:cs="Tahoma"/>
                <w:color w:val="000000"/>
                <w:sz w:val="20"/>
                <w:szCs w:val="20"/>
              </w:rPr>
              <w:t>Aportación POSY</w:t>
            </w:r>
          </w:p>
        </w:tc>
        <w:tc>
          <w:tcPr>
            <w:tcW w:w="1779" w:type="dxa"/>
            <w:tcBorders>
              <w:top w:val="nil"/>
              <w:left w:val="nil"/>
              <w:bottom w:val="nil"/>
              <w:right w:val="nil"/>
            </w:tcBorders>
            <w:shd w:val="clear" w:color="000000" w:fill="FFFFFF"/>
            <w:vAlign w:val="center"/>
            <w:hideMark/>
          </w:tcPr>
          <w:p w:rsidR="00A47351" w:rsidRPr="00707839" w:rsidRDefault="00A47351" w:rsidP="00157E23">
            <w:pPr>
              <w:jc w:val="right"/>
              <w:rPr>
                <w:rFonts w:ascii="Calibri" w:hAnsi="Calibri" w:cs="Calibri"/>
                <w:color w:val="000000"/>
                <w:sz w:val="20"/>
                <w:szCs w:val="20"/>
              </w:rPr>
            </w:pPr>
            <w:r w:rsidRPr="00707839">
              <w:rPr>
                <w:rFonts w:ascii="Calibri" w:hAnsi="Calibri" w:cs="Tahoma"/>
                <w:color w:val="000000"/>
                <w:sz w:val="20"/>
                <w:szCs w:val="20"/>
              </w:rPr>
              <w:t>$</w:t>
            </w:r>
            <w:r w:rsidR="00157E23" w:rsidRPr="00707839">
              <w:rPr>
                <w:rFonts w:ascii="Calibri" w:hAnsi="Calibri" w:cs="Tahoma"/>
                <w:color w:val="000000"/>
                <w:sz w:val="20"/>
                <w:szCs w:val="20"/>
              </w:rPr>
              <w:t>4</w:t>
            </w:r>
            <w:r w:rsidRPr="00707839">
              <w:rPr>
                <w:rFonts w:ascii="Calibri" w:hAnsi="Calibri" w:cs="Tahoma"/>
                <w:color w:val="000000"/>
                <w:sz w:val="20"/>
                <w:szCs w:val="20"/>
              </w:rPr>
              <w:t>,</w:t>
            </w:r>
            <w:r w:rsidR="00157E23" w:rsidRPr="00707839">
              <w:rPr>
                <w:rFonts w:ascii="Calibri" w:hAnsi="Calibri" w:cs="Tahoma"/>
                <w:color w:val="000000"/>
                <w:sz w:val="20"/>
                <w:szCs w:val="20"/>
              </w:rPr>
              <w:t>5</w:t>
            </w:r>
            <w:r w:rsidRPr="00707839">
              <w:rPr>
                <w:rFonts w:ascii="Calibri" w:hAnsi="Calibri" w:cs="Tahoma"/>
                <w:color w:val="000000"/>
                <w:sz w:val="20"/>
                <w:szCs w:val="20"/>
              </w:rPr>
              <w:t>00,000.00</w:t>
            </w:r>
          </w:p>
        </w:tc>
      </w:tr>
      <w:tr w:rsidR="00A47351" w:rsidRPr="00707839" w:rsidTr="00DB481A">
        <w:trPr>
          <w:trHeight w:val="300"/>
          <w:jc w:val="center"/>
        </w:trPr>
        <w:tc>
          <w:tcPr>
            <w:tcW w:w="3906" w:type="dxa"/>
            <w:tcBorders>
              <w:top w:val="nil"/>
              <w:left w:val="nil"/>
              <w:bottom w:val="nil"/>
              <w:right w:val="nil"/>
            </w:tcBorders>
            <w:shd w:val="clear" w:color="000000" w:fill="FFFFFF"/>
            <w:vAlign w:val="center"/>
            <w:hideMark/>
          </w:tcPr>
          <w:p w:rsidR="00A47351" w:rsidRPr="00707839" w:rsidRDefault="00A47351" w:rsidP="00DB481A">
            <w:pPr>
              <w:rPr>
                <w:rFonts w:ascii="Calibri" w:hAnsi="Calibri" w:cs="Calibri"/>
                <w:color w:val="000000"/>
                <w:sz w:val="20"/>
                <w:szCs w:val="20"/>
              </w:rPr>
            </w:pPr>
            <w:r w:rsidRPr="00707839">
              <w:rPr>
                <w:rFonts w:ascii="Calibri" w:hAnsi="Calibri" w:cs="Tahoma"/>
                <w:color w:val="000000"/>
                <w:sz w:val="20"/>
                <w:szCs w:val="20"/>
              </w:rPr>
              <w:t>Presentaciones de la OSY</w:t>
            </w:r>
          </w:p>
        </w:tc>
        <w:tc>
          <w:tcPr>
            <w:tcW w:w="1779" w:type="dxa"/>
            <w:tcBorders>
              <w:top w:val="nil"/>
              <w:left w:val="nil"/>
              <w:bottom w:val="nil"/>
              <w:right w:val="nil"/>
            </w:tcBorders>
            <w:shd w:val="clear" w:color="000000" w:fill="FFFFFF"/>
            <w:vAlign w:val="center"/>
            <w:hideMark/>
          </w:tcPr>
          <w:p w:rsidR="00A47351" w:rsidRPr="00707839" w:rsidRDefault="00A47351" w:rsidP="00DB481A">
            <w:pPr>
              <w:jc w:val="right"/>
              <w:rPr>
                <w:rFonts w:ascii="Calibri" w:hAnsi="Calibri" w:cs="Calibri"/>
                <w:color w:val="000000"/>
                <w:sz w:val="20"/>
                <w:szCs w:val="20"/>
              </w:rPr>
            </w:pPr>
            <w:r w:rsidRPr="00707839">
              <w:rPr>
                <w:rFonts w:ascii="Calibri" w:hAnsi="Calibri" w:cs="Tahoma"/>
                <w:color w:val="000000"/>
                <w:sz w:val="20"/>
                <w:szCs w:val="20"/>
              </w:rPr>
              <w:t>0.00</w:t>
            </w:r>
          </w:p>
        </w:tc>
      </w:tr>
      <w:tr w:rsidR="00A47351" w:rsidRPr="00707839" w:rsidTr="00DB481A">
        <w:trPr>
          <w:trHeight w:val="510"/>
          <w:jc w:val="center"/>
        </w:trPr>
        <w:tc>
          <w:tcPr>
            <w:tcW w:w="3906" w:type="dxa"/>
            <w:tcBorders>
              <w:top w:val="nil"/>
              <w:left w:val="nil"/>
              <w:bottom w:val="nil"/>
              <w:right w:val="nil"/>
            </w:tcBorders>
            <w:shd w:val="clear" w:color="000000" w:fill="FFFFFF"/>
            <w:vAlign w:val="center"/>
            <w:hideMark/>
          </w:tcPr>
          <w:p w:rsidR="00A47351" w:rsidRPr="00707839" w:rsidRDefault="00A47351" w:rsidP="00DB481A">
            <w:pPr>
              <w:rPr>
                <w:rFonts w:ascii="Calibri" w:hAnsi="Calibri" w:cs="Calibri"/>
                <w:color w:val="000000"/>
                <w:sz w:val="20"/>
                <w:szCs w:val="20"/>
              </w:rPr>
            </w:pPr>
            <w:r w:rsidRPr="00707839">
              <w:rPr>
                <w:rFonts w:ascii="Calibri" w:hAnsi="Calibri" w:cs="Tahoma"/>
                <w:color w:val="000000"/>
                <w:sz w:val="20"/>
                <w:szCs w:val="20"/>
              </w:rPr>
              <w:t>Ingreso por comisión venta en línea</w:t>
            </w:r>
          </w:p>
        </w:tc>
        <w:tc>
          <w:tcPr>
            <w:tcW w:w="1779" w:type="dxa"/>
            <w:tcBorders>
              <w:top w:val="nil"/>
              <w:left w:val="nil"/>
              <w:bottom w:val="nil"/>
              <w:right w:val="nil"/>
            </w:tcBorders>
            <w:shd w:val="clear" w:color="000000" w:fill="FFFFFF"/>
            <w:vAlign w:val="center"/>
            <w:hideMark/>
          </w:tcPr>
          <w:p w:rsidR="00A47351" w:rsidRPr="00707839" w:rsidRDefault="00157E23" w:rsidP="00DB481A">
            <w:pPr>
              <w:jc w:val="right"/>
              <w:rPr>
                <w:rFonts w:ascii="Calibri" w:hAnsi="Calibri" w:cs="Calibri"/>
                <w:color w:val="000000"/>
                <w:sz w:val="20"/>
                <w:szCs w:val="20"/>
              </w:rPr>
            </w:pPr>
            <w:r w:rsidRPr="00707839">
              <w:rPr>
                <w:rFonts w:ascii="Calibri" w:hAnsi="Calibri" w:cs="Tahoma"/>
                <w:color w:val="000000"/>
                <w:sz w:val="20"/>
                <w:szCs w:val="20"/>
              </w:rPr>
              <w:t>30</w:t>
            </w:r>
            <w:r w:rsidR="00A47351" w:rsidRPr="00707839">
              <w:rPr>
                <w:rFonts w:ascii="Calibri" w:hAnsi="Calibri" w:cs="Tahoma"/>
                <w:color w:val="000000"/>
                <w:sz w:val="20"/>
                <w:szCs w:val="20"/>
              </w:rPr>
              <w:t>,000.00</w:t>
            </w:r>
          </w:p>
        </w:tc>
      </w:tr>
      <w:tr w:rsidR="00A47351" w:rsidRPr="00707839" w:rsidTr="00DB481A">
        <w:trPr>
          <w:trHeight w:val="525"/>
          <w:jc w:val="center"/>
        </w:trPr>
        <w:tc>
          <w:tcPr>
            <w:tcW w:w="3906" w:type="dxa"/>
            <w:tcBorders>
              <w:top w:val="nil"/>
              <w:left w:val="nil"/>
              <w:bottom w:val="nil"/>
              <w:right w:val="nil"/>
            </w:tcBorders>
            <w:shd w:val="clear" w:color="000000" w:fill="FFFFFF"/>
            <w:vAlign w:val="center"/>
            <w:hideMark/>
          </w:tcPr>
          <w:p w:rsidR="00A47351" w:rsidRPr="00707839" w:rsidRDefault="00A47351" w:rsidP="00DB481A">
            <w:pPr>
              <w:rPr>
                <w:rFonts w:ascii="Calibri" w:hAnsi="Calibri" w:cs="Calibri"/>
                <w:color w:val="000000"/>
                <w:sz w:val="20"/>
                <w:szCs w:val="20"/>
              </w:rPr>
            </w:pPr>
            <w:r w:rsidRPr="00707839">
              <w:rPr>
                <w:rFonts w:ascii="Calibri" w:hAnsi="Calibri" w:cs="Tahoma"/>
                <w:color w:val="000000"/>
                <w:sz w:val="20"/>
                <w:szCs w:val="20"/>
              </w:rPr>
              <w:t>Ingresos por venta de álbum discográfico de la OSY</w:t>
            </w:r>
          </w:p>
        </w:tc>
        <w:tc>
          <w:tcPr>
            <w:tcW w:w="1779" w:type="dxa"/>
            <w:tcBorders>
              <w:top w:val="nil"/>
              <w:left w:val="nil"/>
              <w:bottom w:val="nil"/>
              <w:right w:val="nil"/>
            </w:tcBorders>
            <w:shd w:val="clear" w:color="000000" w:fill="FFFFFF"/>
            <w:vAlign w:val="center"/>
            <w:hideMark/>
          </w:tcPr>
          <w:p w:rsidR="00A47351" w:rsidRPr="00707839" w:rsidRDefault="00A47351" w:rsidP="00DB481A">
            <w:pPr>
              <w:jc w:val="right"/>
              <w:rPr>
                <w:rFonts w:ascii="Calibri" w:hAnsi="Calibri" w:cs="Calibri"/>
                <w:color w:val="000000"/>
                <w:sz w:val="20"/>
                <w:szCs w:val="20"/>
              </w:rPr>
            </w:pPr>
            <w:r w:rsidRPr="00707839">
              <w:rPr>
                <w:rFonts w:ascii="Calibri" w:hAnsi="Calibri" w:cs="Tahoma"/>
                <w:color w:val="000000"/>
                <w:sz w:val="20"/>
                <w:szCs w:val="20"/>
              </w:rPr>
              <w:t>12,000.00</w:t>
            </w:r>
          </w:p>
        </w:tc>
      </w:tr>
      <w:tr w:rsidR="00A47351" w:rsidRPr="00707839" w:rsidTr="00DB481A">
        <w:trPr>
          <w:trHeight w:val="315"/>
          <w:jc w:val="center"/>
        </w:trPr>
        <w:tc>
          <w:tcPr>
            <w:tcW w:w="3906" w:type="dxa"/>
            <w:tcBorders>
              <w:top w:val="nil"/>
              <w:left w:val="nil"/>
              <w:bottom w:val="nil"/>
              <w:right w:val="nil"/>
            </w:tcBorders>
            <w:shd w:val="clear" w:color="000000" w:fill="FFFFFF"/>
            <w:vAlign w:val="center"/>
            <w:hideMark/>
          </w:tcPr>
          <w:p w:rsidR="00A47351" w:rsidRPr="00707839" w:rsidRDefault="00A47351" w:rsidP="00DB481A">
            <w:pPr>
              <w:rPr>
                <w:rFonts w:ascii="Calibri" w:hAnsi="Calibri" w:cs="Calibri"/>
                <w:color w:val="000000"/>
                <w:sz w:val="20"/>
                <w:szCs w:val="20"/>
              </w:rPr>
            </w:pPr>
            <w:r w:rsidRPr="00707839">
              <w:rPr>
                <w:rFonts w:ascii="Calibri" w:hAnsi="Calibri" w:cs="Tahoma"/>
                <w:color w:val="000000"/>
                <w:sz w:val="20"/>
                <w:szCs w:val="20"/>
              </w:rPr>
              <w:t>Suma Otros ingresos</w:t>
            </w:r>
          </w:p>
        </w:tc>
        <w:tc>
          <w:tcPr>
            <w:tcW w:w="1779" w:type="dxa"/>
            <w:tcBorders>
              <w:top w:val="single" w:sz="8" w:space="0" w:color="auto"/>
              <w:left w:val="nil"/>
              <w:bottom w:val="dashed" w:sz="8" w:space="0" w:color="auto"/>
              <w:right w:val="nil"/>
            </w:tcBorders>
            <w:shd w:val="clear" w:color="000000" w:fill="FFFFFF"/>
            <w:vAlign w:val="center"/>
            <w:hideMark/>
          </w:tcPr>
          <w:p w:rsidR="00A47351" w:rsidRPr="00707839" w:rsidRDefault="00A47351" w:rsidP="00157E23">
            <w:pPr>
              <w:jc w:val="right"/>
              <w:rPr>
                <w:rFonts w:ascii="Calibri" w:hAnsi="Calibri" w:cs="Calibri"/>
                <w:color w:val="000000"/>
                <w:sz w:val="20"/>
                <w:szCs w:val="20"/>
              </w:rPr>
            </w:pPr>
            <w:r w:rsidRPr="00707839">
              <w:rPr>
                <w:rFonts w:ascii="Calibri" w:hAnsi="Calibri" w:cs="Tahoma"/>
                <w:color w:val="000000"/>
                <w:sz w:val="20"/>
                <w:szCs w:val="20"/>
              </w:rPr>
              <w:t>$</w:t>
            </w:r>
            <w:r w:rsidR="00157E23" w:rsidRPr="00707839">
              <w:rPr>
                <w:rFonts w:ascii="Calibri" w:hAnsi="Calibri" w:cs="Tahoma"/>
                <w:color w:val="000000"/>
                <w:sz w:val="20"/>
                <w:szCs w:val="20"/>
              </w:rPr>
              <w:t>4</w:t>
            </w:r>
            <w:r w:rsidRPr="00707839">
              <w:rPr>
                <w:rFonts w:ascii="Calibri" w:hAnsi="Calibri" w:cs="Tahoma"/>
                <w:color w:val="000000"/>
                <w:sz w:val="20"/>
                <w:szCs w:val="20"/>
              </w:rPr>
              <w:t>,</w:t>
            </w:r>
            <w:r w:rsidR="00157E23" w:rsidRPr="00707839">
              <w:rPr>
                <w:rFonts w:ascii="Calibri" w:hAnsi="Calibri" w:cs="Tahoma"/>
                <w:color w:val="000000"/>
                <w:sz w:val="20"/>
                <w:szCs w:val="20"/>
              </w:rPr>
              <w:t>542</w:t>
            </w:r>
            <w:r w:rsidRPr="00707839">
              <w:rPr>
                <w:rFonts w:ascii="Calibri" w:hAnsi="Calibri" w:cs="Tahoma"/>
                <w:color w:val="000000"/>
                <w:sz w:val="20"/>
                <w:szCs w:val="20"/>
              </w:rPr>
              <w:t>,000.00</w:t>
            </w:r>
          </w:p>
        </w:tc>
      </w:tr>
      <w:tr w:rsidR="00A47351" w:rsidRPr="00707839" w:rsidTr="00DB481A">
        <w:trPr>
          <w:trHeight w:val="315"/>
          <w:jc w:val="center"/>
        </w:trPr>
        <w:tc>
          <w:tcPr>
            <w:tcW w:w="3906" w:type="dxa"/>
            <w:tcBorders>
              <w:top w:val="nil"/>
              <w:left w:val="nil"/>
              <w:bottom w:val="nil"/>
              <w:right w:val="nil"/>
            </w:tcBorders>
            <w:shd w:val="clear" w:color="000000" w:fill="FFFFFF"/>
            <w:vAlign w:val="center"/>
            <w:hideMark/>
          </w:tcPr>
          <w:p w:rsidR="00A47351" w:rsidRPr="00707839" w:rsidRDefault="00A47351" w:rsidP="00DB481A">
            <w:pPr>
              <w:rPr>
                <w:rFonts w:ascii="Calibri" w:hAnsi="Calibri" w:cs="Calibri"/>
                <w:color w:val="000000"/>
                <w:sz w:val="20"/>
                <w:szCs w:val="20"/>
              </w:rPr>
            </w:pPr>
            <w:r w:rsidRPr="00707839">
              <w:rPr>
                <w:rFonts w:ascii="Calibri" w:hAnsi="Calibri" w:cs="Tahoma"/>
                <w:color w:val="000000"/>
                <w:sz w:val="20"/>
                <w:szCs w:val="20"/>
              </w:rPr>
              <w:t> </w:t>
            </w:r>
          </w:p>
        </w:tc>
        <w:tc>
          <w:tcPr>
            <w:tcW w:w="1779" w:type="dxa"/>
            <w:tcBorders>
              <w:top w:val="nil"/>
              <w:left w:val="nil"/>
              <w:bottom w:val="nil"/>
              <w:right w:val="nil"/>
            </w:tcBorders>
            <w:shd w:val="clear" w:color="000000" w:fill="FFFFFF"/>
            <w:vAlign w:val="center"/>
            <w:hideMark/>
          </w:tcPr>
          <w:p w:rsidR="00A47351" w:rsidRPr="00707839" w:rsidRDefault="00A47351" w:rsidP="00DB481A">
            <w:pPr>
              <w:jc w:val="right"/>
              <w:rPr>
                <w:rFonts w:ascii="Calibri" w:hAnsi="Calibri" w:cs="Calibri"/>
                <w:color w:val="000000"/>
                <w:sz w:val="20"/>
                <w:szCs w:val="20"/>
              </w:rPr>
            </w:pPr>
            <w:r w:rsidRPr="00707839">
              <w:rPr>
                <w:rFonts w:ascii="Calibri" w:hAnsi="Calibri" w:cs="Tahoma"/>
                <w:color w:val="000000"/>
                <w:sz w:val="20"/>
                <w:szCs w:val="20"/>
              </w:rPr>
              <w:t> </w:t>
            </w:r>
          </w:p>
        </w:tc>
      </w:tr>
      <w:tr w:rsidR="00A47351" w:rsidRPr="00707839" w:rsidTr="00DB481A">
        <w:trPr>
          <w:trHeight w:val="525"/>
          <w:jc w:val="center"/>
        </w:trPr>
        <w:tc>
          <w:tcPr>
            <w:tcW w:w="3906" w:type="dxa"/>
            <w:tcBorders>
              <w:top w:val="nil"/>
              <w:left w:val="nil"/>
              <w:bottom w:val="nil"/>
              <w:right w:val="nil"/>
            </w:tcBorders>
            <w:shd w:val="clear" w:color="000000" w:fill="FFFFFF"/>
            <w:vAlign w:val="center"/>
            <w:hideMark/>
          </w:tcPr>
          <w:p w:rsidR="00A47351" w:rsidRPr="00707839" w:rsidRDefault="00A47351" w:rsidP="00DB481A">
            <w:pPr>
              <w:rPr>
                <w:rFonts w:ascii="Calibri" w:hAnsi="Calibri" w:cs="Calibri"/>
                <w:b/>
                <w:bCs/>
                <w:color w:val="000000"/>
                <w:sz w:val="20"/>
                <w:szCs w:val="20"/>
              </w:rPr>
            </w:pPr>
            <w:r w:rsidRPr="00707839">
              <w:rPr>
                <w:rFonts w:ascii="Calibri" w:hAnsi="Calibri" w:cs="Tahoma"/>
                <w:b/>
                <w:bCs/>
                <w:color w:val="000000"/>
                <w:sz w:val="20"/>
                <w:szCs w:val="20"/>
              </w:rPr>
              <w:t>SUMA INGRESOS POR VENTA DE BIENES Y SERVICIOS</w:t>
            </w:r>
          </w:p>
        </w:tc>
        <w:tc>
          <w:tcPr>
            <w:tcW w:w="1779" w:type="dxa"/>
            <w:tcBorders>
              <w:top w:val="single" w:sz="8" w:space="0" w:color="auto"/>
              <w:left w:val="nil"/>
              <w:bottom w:val="dashed" w:sz="8" w:space="0" w:color="auto"/>
              <w:right w:val="nil"/>
            </w:tcBorders>
            <w:shd w:val="clear" w:color="000000" w:fill="FFFFFF"/>
            <w:vAlign w:val="center"/>
            <w:hideMark/>
          </w:tcPr>
          <w:p w:rsidR="00A47351" w:rsidRPr="00707839" w:rsidRDefault="00A47351" w:rsidP="00157E23">
            <w:pPr>
              <w:jc w:val="right"/>
              <w:rPr>
                <w:rFonts w:ascii="Calibri" w:hAnsi="Calibri" w:cs="Calibri"/>
                <w:b/>
                <w:bCs/>
                <w:color w:val="000000"/>
                <w:sz w:val="20"/>
                <w:szCs w:val="20"/>
              </w:rPr>
            </w:pPr>
            <w:r w:rsidRPr="00707839">
              <w:rPr>
                <w:rFonts w:ascii="Calibri" w:hAnsi="Calibri" w:cs="Tahoma"/>
                <w:b/>
                <w:bCs/>
                <w:color w:val="000000"/>
                <w:sz w:val="20"/>
                <w:szCs w:val="20"/>
              </w:rPr>
              <w:t>$1</w:t>
            </w:r>
            <w:r w:rsidR="00157E23" w:rsidRPr="00707839">
              <w:rPr>
                <w:rFonts w:ascii="Calibri" w:hAnsi="Calibri" w:cs="Tahoma"/>
                <w:b/>
                <w:bCs/>
                <w:color w:val="000000"/>
                <w:sz w:val="20"/>
                <w:szCs w:val="20"/>
              </w:rPr>
              <w:t>8</w:t>
            </w:r>
            <w:r w:rsidRPr="00707839">
              <w:rPr>
                <w:rFonts w:ascii="Calibri" w:hAnsi="Calibri" w:cs="Tahoma"/>
                <w:b/>
                <w:bCs/>
                <w:color w:val="000000"/>
                <w:sz w:val="20"/>
                <w:szCs w:val="20"/>
              </w:rPr>
              <w:t>,</w:t>
            </w:r>
            <w:r w:rsidR="00157E23" w:rsidRPr="00707839">
              <w:rPr>
                <w:rFonts w:ascii="Calibri" w:hAnsi="Calibri" w:cs="Tahoma"/>
                <w:b/>
                <w:bCs/>
                <w:color w:val="000000"/>
                <w:sz w:val="20"/>
                <w:szCs w:val="20"/>
              </w:rPr>
              <w:t>575</w:t>
            </w:r>
            <w:r w:rsidRPr="00707839">
              <w:rPr>
                <w:rFonts w:ascii="Calibri" w:hAnsi="Calibri" w:cs="Tahoma"/>
                <w:b/>
                <w:bCs/>
                <w:color w:val="000000"/>
                <w:sz w:val="20"/>
                <w:szCs w:val="20"/>
              </w:rPr>
              <w:t>,8</w:t>
            </w:r>
            <w:r w:rsidR="00157E23" w:rsidRPr="00707839">
              <w:rPr>
                <w:rFonts w:ascii="Calibri" w:hAnsi="Calibri" w:cs="Tahoma"/>
                <w:b/>
                <w:bCs/>
                <w:color w:val="000000"/>
                <w:sz w:val="20"/>
                <w:szCs w:val="20"/>
              </w:rPr>
              <w:t>63</w:t>
            </w:r>
            <w:r w:rsidRPr="00707839">
              <w:rPr>
                <w:rFonts w:ascii="Calibri" w:hAnsi="Calibri" w:cs="Tahoma"/>
                <w:b/>
                <w:bCs/>
                <w:color w:val="000000"/>
                <w:sz w:val="20"/>
                <w:szCs w:val="20"/>
              </w:rPr>
              <w:t>.00</w:t>
            </w:r>
          </w:p>
        </w:tc>
      </w:tr>
      <w:tr w:rsidR="00A47351" w:rsidRPr="00707839" w:rsidTr="00DB481A">
        <w:trPr>
          <w:trHeight w:val="765"/>
          <w:jc w:val="center"/>
        </w:trPr>
        <w:tc>
          <w:tcPr>
            <w:tcW w:w="3906" w:type="dxa"/>
            <w:tcBorders>
              <w:top w:val="nil"/>
              <w:left w:val="nil"/>
              <w:bottom w:val="nil"/>
              <w:right w:val="nil"/>
            </w:tcBorders>
            <w:shd w:val="clear" w:color="000000" w:fill="FFFFFF"/>
            <w:vAlign w:val="center"/>
            <w:hideMark/>
          </w:tcPr>
          <w:p w:rsidR="00A47351" w:rsidRPr="00707839" w:rsidRDefault="00A47351" w:rsidP="00DB481A">
            <w:pPr>
              <w:rPr>
                <w:rFonts w:ascii="Calibri" w:hAnsi="Calibri" w:cs="Calibri"/>
                <w:b/>
                <w:bCs/>
                <w:color w:val="000000"/>
                <w:sz w:val="20"/>
                <w:szCs w:val="20"/>
                <w:u w:val="single"/>
              </w:rPr>
            </w:pPr>
            <w:r w:rsidRPr="00707839">
              <w:rPr>
                <w:rFonts w:ascii="Calibri" w:hAnsi="Calibri" w:cs="Tahoma"/>
                <w:b/>
                <w:bCs/>
                <w:color w:val="000000"/>
                <w:sz w:val="20"/>
                <w:szCs w:val="20"/>
                <w:u w:val="single"/>
              </w:rPr>
              <w:lastRenderedPageBreak/>
              <w:t>TRANSFERENCIAS AL RESTO DEL SECTOR PÚBLICO</w:t>
            </w:r>
          </w:p>
        </w:tc>
        <w:tc>
          <w:tcPr>
            <w:tcW w:w="1779" w:type="dxa"/>
            <w:tcBorders>
              <w:top w:val="nil"/>
              <w:left w:val="nil"/>
              <w:bottom w:val="nil"/>
              <w:right w:val="nil"/>
            </w:tcBorders>
            <w:shd w:val="clear" w:color="000000" w:fill="FFFFFF"/>
            <w:vAlign w:val="center"/>
            <w:hideMark/>
          </w:tcPr>
          <w:p w:rsidR="00A47351" w:rsidRPr="00707839" w:rsidRDefault="00A47351" w:rsidP="00DB481A">
            <w:pPr>
              <w:jc w:val="right"/>
              <w:rPr>
                <w:rFonts w:ascii="Calibri" w:hAnsi="Calibri" w:cs="Calibri"/>
                <w:color w:val="000000"/>
                <w:sz w:val="20"/>
                <w:szCs w:val="20"/>
              </w:rPr>
            </w:pPr>
            <w:r w:rsidRPr="00707839">
              <w:rPr>
                <w:rFonts w:ascii="Calibri" w:hAnsi="Calibri" w:cs="Tahoma"/>
                <w:color w:val="000000"/>
                <w:sz w:val="20"/>
                <w:szCs w:val="20"/>
              </w:rPr>
              <w:t> </w:t>
            </w:r>
          </w:p>
        </w:tc>
      </w:tr>
      <w:tr w:rsidR="00A47351" w:rsidRPr="00707839" w:rsidTr="00DB481A">
        <w:trPr>
          <w:trHeight w:val="765"/>
          <w:jc w:val="center"/>
        </w:trPr>
        <w:tc>
          <w:tcPr>
            <w:tcW w:w="3906" w:type="dxa"/>
            <w:tcBorders>
              <w:top w:val="nil"/>
              <w:left w:val="nil"/>
              <w:bottom w:val="nil"/>
              <w:right w:val="nil"/>
            </w:tcBorders>
            <w:shd w:val="clear" w:color="000000" w:fill="FFFFFF"/>
            <w:vAlign w:val="center"/>
            <w:hideMark/>
          </w:tcPr>
          <w:p w:rsidR="00A47351" w:rsidRPr="00707839" w:rsidRDefault="00A47351" w:rsidP="00DB481A">
            <w:pPr>
              <w:rPr>
                <w:rFonts w:ascii="Calibri" w:hAnsi="Calibri" w:cs="Calibri"/>
                <w:color w:val="000000"/>
                <w:sz w:val="20"/>
                <w:szCs w:val="20"/>
              </w:rPr>
            </w:pPr>
            <w:r w:rsidRPr="00707839">
              <w:rPr>
                <w:rFonts w:ascii="Calibri" w:hAnsi="Calibri" w:cs="Tahoma"/>
                <w:color w:val="000000"/>
                <w:sz w:val="20"/>
                <w:szCs w:val="20"/>
              </w:rPr>
              <w:t>Transferencias internas y asignaciones</w:t>
            </w:r>
          </w:p>
        </w:tc>
        <w:tc>
          <w:tcPr>
            <w:tcW w:w="1779" w:type="dxa"/>
            <w:tcBorders>
              <w:top w:val="nil"/>
              <w:left w:val="nil"/>
              <w:bottom w:val="nil"/>
              <w:right w:val="nil"/>
            </w:tcBorders>
            <w:shd w:val="clear" w:color="000000" w:fill="FFFFFF"/>
            <w:vAlign w:val="center"/>
            <w:hideMark/>
          </w:tcPr>
          <w:p w:rsidR="00A47351" w:rsidRPr="00707839" w:rsidRDefault="00A47351" w:rsidP="00DB481A">
            <w:pPr>
              <w:jc w:val="right"/>
              <w:rPr>
                <w:rFonts w:ascii="Calibri" w:hAnsi="Calibri" w:cs="Calibri"/>
                <w:color w:val="000000"/>
                <w:sz w:val="20"/>
                <w:szCs w:val="20"/>
              </w:rPr>
            </w:pPr>
            <w:r w:rsidRPr="00707839">
              <w:rPr>
                <w:rFonts w:ascii="Calibri" w:hAnsi="Calibri" w:cs="Tahoma"/>
                <w:color w:val="000000"/>
                <w:sz w:val="20"/>
                <w:szCs w:val="20"/>
              </w:rPr>
              <w:t> </w:t>
            </w:r>
          </w:p>
        </w:tc>
      </w:tr>
      <w:tr w:rsidR="00A47351" w:rsidRPr="00707839" w:rsidTr="00DB481A">
        <w:trPr>
          <w:trHeight w:val="315"/>
          <w:jc w:val="center"/>
        </w:trPr>
        <w:tc>
          <w:tcPr>
            <w:tcW w:w="3906" w:type="dxa"/>
            <w:tcBorders>
              <w:top w:val="nil"/>
              <w:left w:val="nil"/>
              <w:bottom w:val="nil"/>
              <w:right w:val="nil"/>
            </w:tcBorders>
            <w:shd w:val="clear" w:color="000000" w:fill="FFFFFF"/>
            <w:vAlign w:val="center"/>
            <w:hideMark/>
          </w:tcPr>
          <w:p w:rsidR="00A47351" w:rsidRPr="00707839" w:rsidRDefault="00A47351" w:rsidP="00DB481A">
            <w:pPr>
              <w:rPr>
                <w:rFonts w:ascii="Calibri" w:hAnsi="Calibri" w:cs="Calibri"/>
                <w:color w:val="000000"/>
                <w:sz w:val="20"/>
                <w:szCs w:val="20"/>
              </w:rPr>
            </w:pPr>
            <w:r w:rsidRPr="00707839">
              <w:rPr>
                <w:rFonts w:ascii="Calibri" w:hAnsi="Calibri" w:cs="Tahoma"/>
                <w:color w:val="000000"/>
                <w:sz w:val="20"/>
                <w:szCs w:val="20"/>
              </w:rPr>
              <w:t>Subsidio programado</w:t>
            </w:r>
          </w:p>
        </w:tc>
        <w:tc>
          <w:tcPr>
            <w:tcW w:w="1779" w:type="dxa"/>
            <w:tcBorders>
              <w:top w:val="nil"/>
              <w:left w:val="nil"/>
              <w:bottom w:val="nil"/>
              <w:right w:val="nil"/>
            </w:tcBorders>
            <w:shd w:val="clear" w:color="000000" w:fill="FFFFFF"/>
            <w:vAlign w:val="center"/>
            <w:hideMark/>
          </w:tcPr>
          <w:p w:rsidR="00A47351" w:rsidRPr="00707839" w:rsidRDefault="00A47351" w:rsidP="00157E23">
            <w:pPr>
              <w:jc w:val="right"/>
              <w:rPr>
                <w:rFonts w:ascii="Calibri" w:hAnsi="Calibri" w:cs="Calibri"/>
                <w:color w:val="000000"/>
                <w:sz w:val="20"/>
                <w:szCs w:val="20"/>
              </w:rPr>
            </w:pPr>
            <w:r w:rsidRPr="00707839">
              <w:rPr>
                <w:rFonts w:ascii="Calibri" w:hAnsi="Calibri" w:cs="Tahoma"/>
                <w:color w:val="000000"/>
                <w:sz w:val="20"/>
                <w:szCs w:val="20"/>
              </w:rPr>
              <w:t>$</w:t>
            </w:r>
            <w:r w:rsidR="00157E23" w:rsidRPr="00707839">
              <w:rPr>
                <w:rFonts w:ascii="Calibri" w:hAnsi="Calibri" w:cs="Tahoma"/>
                <w:color w:val="000000"/>
                <w:sz w:val="20"/>
                <w:szCs w:val="20"/>
              </w:rPr>
              <w:t>12</w:t>
            </w:r>
            <w:r w:rsidRPr="00707839">
              <w:rPr>
                <w:rFonts w:ascii="Calibri" w:hAnsi="Calibri" w:cs="Tahoma"/>
                <w:color w:val="000000"/>
                <w:sz w:val="20"/>
                <w:szCs w:val="20"/>
              </w:rPr>
              <w:t>,</w:t>
            </w:r>
            <w:r w:rsidR="00157E23" w:rsidRPr="00707839">
              <w:rPr>
                <w:rFonts w:ascii="Calibri" w:hAnsi="Calibri" w:cs="Tahoma"/>
                <w:color w:val="000000"/>
                <w:sz w:val="20"/>
                <w:szCs w:val="20"/>
              </w:rPr>
              <w:t>5</w:t>
            </w:r>
            <w:r w:rsidRPr="00707839">
              <w:rPr>
                <w:rFonts w:ascii="Calibri" w:hAnsi="Calibri" w:cs="Tahoma"/>
                <w:color w:val="000000"/>
                <w:sz w:val="20"/>
                <w:szCs w:val="20"/>
              </w:rPr>
              <w:t>00,000.00</w:t>
            </w:r>
          </w:p>
        </w:tc>
      </w:tr>
      <w:tr w:rsidR="00A47351" w:rsidRPr="00707839" w:rsidTr="00DB481A">
        <w:trPr>
          <w:trHeight w:val="780"/>
          <w:jc w:val="center"/>
        </w:trPr>
        <w:tc>
          <w:tcPr>
            <w:tcW w:w="3906" w:type="dxa"/>
            <w:tcBorders>
              <w:top w:val="nil"/>
              <w:left w:val="nil"/>
              <w:bottom w:val="nil"/>
              <w:right w:val="nil"/>
            </w:tcBorders>
            <w:shd w:val="clear" w:color="000000" w:fill="FFFFFF"/>
            <w:vAlign w:val="center"/>
            <w:hideMark/>
          </w:tcPr>
          <w:p w:rsidR="00A47351" w:rsidRPr="00707839" w:rsidRDefault="00A47351" w:rsidP="00DB481A">
            <w:pPr>
              <w:rPr>
                <w:rFonts w:ascii="Calibri" w:hAnsi="Calibri" w:cs="Calibri"/>
                <w:b/>
                <w:bCs/>
                <w:color w:val="000000"/>
                <w:sz w:val="20"/>
                <w:szCs w:val="20"/>
              </w:rPr>
            </w:pPr>
            <w:r w:rsidRPr="00707839">
              <w:rPr>
                <w:rFonts w:ascii="Calibri" w:hAnsi="Calibri" w:cs="Tahoma"/>
                <w:b/>
                <w:bCs/>
                <w:color w:val="000000"/>
                <w:sz w:val="20"/>
                <w:szCs w:val="20"/>
              </w:rPr>
              <w:t>SUMA PARTICIPACIONES, APORTACIONES, TRANSFERENCIAS</w:t>
            </w:r>
          </w:p>
        </w:tc>
        <w:tc>
          <w:tcPr>
            <w:tcW w:w="1779" w:type="dxa"/>
            <w:tcBorders>
              <w:top w:val="single" w:sz="8" w:space="0" w:color="auto"/>
              <w:left w:val="nil"/>
              <w:bottom w:val="single" w:sz="8" w:space="0" w:color="auto"/>
              <w:right w:val="nil"/>
            </w:tcBorders>
            <w:shd w:val="clear" w:color="000000" w:fill="FFFFFF"/>
            <w:vAlign w:val="center"/>
            <w:hideMark/>
          </w:tcPr>
          <w:p w:rsidR="00A47351" w:rsidRPr="00707839" w:rsidRDefault="00A47351" w:rsidP="00157E23">
            <w:pPr>
              <w:jc w:val="right"/>
              <w:rPr>
                <w:rFonts w:ascii="Calibri" w:hAnsi="Calibri" w:cs="Calibri"/>
                <w:b/>
                <w:bCs/>
                <w:color w:val="000000"/>
                <w:sz w:val="20"/>
                <w:szCs w:val="20"/>
              </w:rPr>
            </w:pPr>
            <w:r w:rsidRPr="00707839">
              <w:rPr>
                <w:rFonts w:ascii="Calibri" w:hAnsi="Calibri" w:cs="Tahoma"/>
                <w:b/>
                <w:bCs/>
                <w:color w:val="000000"/>
                <w:sz w:val="20"/>
                <w:szCs w:val="20"/>
              </w:rPr>
              <w:t>$</w:t>
            </w:r>
            <w:r w:rsidR="00157E23" w:rsidRPr="00707839">
              <w:rPr>
                <w:rFonts w:ascii="Calibri" w:hAnsi="Calibri" w:cs="Tahoma"/>
                <w:b/>
                <w:bCs/>
                <w:color w:val="000000"/>
                <w:sz w:val="20"/>
                <w:szCs w:val="20"/>
              </w:rPr>
              <w:t>12</w:t>
            </w:r>
            <w:r w:rsidRPr="00707839">
              <w:rPr>
                <w:rFonts w:ascii="Calibri" w:hAnsi="Calibri" w:cs="Tahoma"/>
                <w:b/>
                <w:bCs/>
                <w:color w:val="000000"/>
                <w:sz w:val="20"/>
                <w:szCs w:val="20"/>
              </w:rPr>
              <w:t>,</w:t>
            </w:r>
            <w:r w:rsidR="00157E23" w:rsidRPr="00707839">
              <w:rPr>
                <w:rFonts w:ascii="Calibri" w:hAnsi="Calibri" w:cs="Tahoma"/>
                <w:b/>
                <w:bCs/>
                <w:color w:val="000000"/>
                <w:sz w:val="20"/>
                <w:szCs w:val="20"/>
              </w:rPr>
              <w:t>5</w:t>
            </w:r>
            <w:r w:rsidRPr="00707839">
              <w:rPr>
                <w:rFonts w:ascii="Calibri" w:hAnsi="Calibri" w:cs="Tahoma"/>
                <w:b/>
                <w:bCs/>
                <w:color w:val="000000"/>
                <w:sz w:val="20"/>
                <w:szCs w:val="20"/>
              </w:rPr>
              <w:t>00,000.00</w:t>
            </w:r>
          </w:p>
        </w:tc>
      </w:tr>
      <w:tr w:rsidR="00A47351" w:rsidRPr="00707839" w:rsidTr="00DB481A">
        <w:trPr>
          <w:trHeight w:val="315"/>
          <w:jc w:val="center"/>
        </w:trPr>
        <w:tc>
          <w:tcPr>
            <w:tcW w:w="3906" w:type="dxa"/>
            <w:tcBorders>
              <w:top w:val="nil"/>
              <w:left w:val="nil"/>
              <w:bottom w:val="nil"/>
              <w:right w:val="nil"/>
            </w:tcBorders>
            <w:shd w:val="clear" w:color="000000" w:fill="FFFFFF"/>
            <w:vAlign w:val="center"/>
            <w:hideMark/>
          </w:tcPr>
          <w:p w:rsidR="00A47351" w:rsidRPr="00707839" w:rsidRDefault="00A47351" w:rsidP="00DB481A">
            <w:pPr>
              <w:jc w:val="right"/>
              <w:rPr>
                <w:rFonts w:ascii="Calibri" w:hAnsi="Calibri" w:cs="Calibri"/>
                <w:b/>
                <w:bCs/>
                <w:color w:val="000000"/>
                <w:sz w:val="20"/>
                <w:szCs w:val="20"/>
              </w:rPr>
            </w:pPr>
            <w:r w:rsidRPr="00707839">
              <w:rPr>
                <w:rFonts w:ascii="Calibri" w:hAnsi="Calibri" w:cs="Tahoma"/>
                <w:b/>
                <w:bCs/>
                <w:color w:val="000000"/>
                <w:sz w:val="20"/>
                <w:szCs w:val="20"/>
              </w:rPr>
              <w:t>GRAN TOTAL</w:t>
            </w:r>
          </w:p>
        </w:tc>
        <w:tc>
          <w:tcPr>
            <w:tcW w:w="1779" w:type="dxa"/>
            <w:tcBorders>
              <w:top w:val="nil"/>
              <w:left w:val="nil"/>
              <w:bottom w:val="double" w:sz="6" w:space="0" w:color="auto"/>
              <w:right w:val="nil"/>
            </w:tcBorders>
            <w:shd w:val="clear" w:color="000000" w:fill="FFFFFF"/>
            <w:vAlign w:val="center"/>
            <w:hideMark/>
          </w:tcPr>
          <w:p w:rsidR="00A47351" w:rsidRPr="00707839" w:rsidRDefault="00A47351" w:rsidP="00453ABC">
            <w:pPr>
              <w:jc w:val="right"/>
              <w:rPr>
                <w:rFonts w:ascii="Calibri" w:hAnsi="Calibri" w:cs="Calibri"/>
                <w:b/>
                <w:bCs/>
                <w:color w:val="000000"/>
                <w:sz w:val="20"/>
                <w:szCs w:val="20"/>
              </w:rPr>
            </w:pPr>
            <w:r w:rsidRPr="00707839">
              <w:rPr>
                <w:rFonts w:ascii="Calibri" w:hAnsi="Calibri" w:cs="Tahoma"/>
                <w:b/>
                <w:bCs/>
                <w:color w:val="000000"/>
                <w:sz w:val="20"/>
                <w:szCs w:val="20"/>
              </w:rPr>
              <w:t>$</w:t>
            </w:r>
            <w:r w:rsidR="00453ABC" w:rsidRPr="00707839">
              <w:rPr>
                <w:rFonts w:ascii="Calibri" w:hAnsi="Calibri" w:cs="Tahoma"/>
                <w:b/>
                <w:bCs/>
                <w:color w:val="000000"/>
                <w:sz w:val="20"/>
                <w:szCs w:val="20"/>
              </w:rPr>
              <w:t>31,075,863.00</w:t>
            </w:r>
          </w:p>
        </w:tc>
      </w:tr>
    </w:tbl>
    <w:p w:rsidR="00A47351" w:rsidRPr="00707839" w:rsidRDefault="00A47351" w:rsidP="00A47351">
      <w:pPr>
        <w:spacing w:line="360" w:lineRule="auto"/>
        <w:jc w:val="both"/>
        <w:rPr>
          <w:rFonts w:ascii="Calibri" w:hAnsi="Calibri"/>
          <w:sz w:val="20"/>
          <w:szCs w:val="20"/>
        </w:rPr>
      </w:pPr>
    </w:p>
    <w:p w:rsidR="00A47351" w:rsidRPr="00707839" w:rsidRDefault="00A47351" w:rsidP="00A47351">
      <w:pPr>
        <w:jc w:val="both"/>
        <w:rPr>
          <w:rFonts w:ascii="Calibri" w:hAnsi="Calibri"/>
          <w:sz w:val="20"/>
          <w:szCs w:val="20"/>
        </w:rPr>
      </w:pPr>
    </w:p>
    <w:p w:rsidR="00A47351" w:rsidRPr="00707839" w:rsidRDefault="00A47351" w:rsidP="00A47351">
      <w:pPr>
        <w:pStyle w:val="Prrafodelista"/>
        <w:numPr>
          <w:ilvl w:val="0"/>
          <w:numId w:val="28"/>
        </w:numPr>
        <w:tabs>
          <w:tab w:val="left" w:pos="426"/>
        </w:tabs>
        <w:ind w:left="0" w:firstLine="0"/>
        <w:rPr>
          <w:rFonts w:ascii="Calibri" w:hAnsi="Calibri"/>
          <w:b/>
          <w:sz w:val="20"/>
          <w:szCs w:val="20"/>
        </w:rPr>
      </w:pPr>
      <w:r w:rsidRPr="00707839">
        <w:rPr>
          <w:rFonts w:ascii="Calibri" w:hAnsi="Calibri"/>
          <w:b/>
          <w:sz w:val="20"/>
          <w:szCs w:val="20"/>
        </w:rPr>
        <w:t>Información sobre la Deuda y el Reporte Analítico de la Deuda.</w:t>
      </w:r>
    </w:p>
    <w:p w:rsidR="00A47351" w:rsidRPr="00707839" w:rsidRDefault="00A47351" w:rsidP="00A47351">
      <w:pPr>
        <w:jc w:val="both"/>
        <w:rPr>
          <w:rFonts w:ascii="Calibri" w:hAnsi="Calibri"/>
          <w:sz w:val="20"/>
          <w:szCs w:val="20"/>
        </w:rPr>
      </w:pPr>
    </w:p>
    <w:p w:rsidR="00A47351" w:rsidRPr="00707839" w:rsidRDefault="00A47351" w:rsidP="00A47351">
      <w:pPr>
        <w:jc w:val="both"/>
        <w:rPr>
          <w:rFonts w:ascii="Calibri" w:hAnsi="Calibri"/>
          <w:sz w:val="20"/>
          <w:szCs w:val="20"/>
        </w:rPr>
      </w:pPr>
      <w:r w:rsidRPr="00707839">
        <w:rPr>
          <w:rFonts w:ascii="Calibri" w:hAnsi="Calibri"/>
          <w:sz w:val="20"/>
          <w:szCs w:val="20"/>
        </w:rPr>
        <w:t>El Fideicomiso Garante de la Orquesta Sinfónica de Yucatán no ha generado información alguna sobre deuda pública por el periodo del 1</w:t>
      </w:r>
      <w:r w:rsidR="007011D8" w:rsidRPr="00707839">
        <w:rPr>
          <w:rFonts w:ascii="Calibri" w:hAnsi="Calibri"/>
          <w:sz w:val="20"/>
          <w:szCs w:val="20"/>
        </w:rPr>
        <w:t xml:space="preserve"> de </w:t>
      </w:r>
      <w:r w:rsidR="00EF0E7F" w:rsidRPr="00707839">
        <w:rPr>
          <w:rFonts w:ascii="Calibri" w:hAnsi="Calibri"/>
          <w:sz w:val="20"/>
          <w:szCs w:val="20"/>
        </w:rPr>
        <w:t>enero</w:t>
      </w:r>
      <w:r w:rsidR="007011D8" w:rsidRPr="00707839">
        <w:rPr>
          <w:rFonts w:ascii="Calibri" w:hAnsi="Calibri"/>
          <w:sz w:val="20"/>
          <w:szCs w:val="20"/>
        </w:rPr>
        <w:t xml:space="preserve"> </w:t>
      </w:r>
      <w:r w:rsidR="00BD2A58" w:rsidRPr="00707839">
        <w:rPr>
          <w:rFonts w:ascii="Calibri" w:hAnsi="Calibri"/>
          <w:sz w:val="20"/>
          <w:szCs w:val="20"/>
        </w:rPr>
        <w:t xml:space="preserve">al </w:t>
      </w:r>
      <w:r w:rsidR="001A2FAC" w:rsidRPr="00707839">
        <w:rPr>
          <w:rFonts w:ascii="Calibri" w:hAnsi="Calibri"/>
          <w:sz w:val="20"/>
          <w:szCs w:val="20"/>
        </w:rPr>
        <w:t>31 de Mayo de 2022</w:t>
      </w:r>
      <w:r w:rsidRPr="00707839">
        <w:rPr>
          <w:rFonts w:ascii="Calibri" w:hAnsi="Calibri"/>
          <w:sz w:val="20"/>
          <w:szCs w:val="20"/>
        </w:rPr>
        <w:t xml:space="preserve">. </w:t>
      </w:r>
    </w:p>
    <w:p w:rsidR="00A47351" w:rsidRDefault="00A47351" w:rsidP="00A47351">
      <w:pPr>
        <w:jc w:val="both"/>
        <w:rPr>
          <w:rFonts w:ascii="Calibri" w:hAnsi="Calibri"/>
          <w:sz w:val="20"/>
          <w:szCs w:val="20"/>
        </w:rPr>
      </w:pPr>
    </w:p>
    <w:p w:rsidR="006E7C7C" w:rsidRPr="00707839" w:rsidRDefault="006E7C7C" w:rsidP="00A47351">
      <w:pPr>
        <w:jc w:val="both"/>
        <w:rPr>
          <w:rFonts w:ascii="Calibri" w:hAnsi="Calibri"/>
          <w:sz w:val="20"/>
          <w:szCs w:val="20"/>
        </w:rPr>
      </w:pPr>
    </w:p>
    <w:p w:rsidR="00A47351" w:rsidRPr="00707839" w:rsidRDefault="00A47351" w:rsidP="00A47351">
      <w:pPr>
        <w:pStyle w:val="Prrafodelista"/>
        <w:numPr>
          <w:ilvl w:val="0"/>
          <w:numId w:val="28"/>
        </w:numPr>
        <w:tabs>
          <w:tab w:val="left" w:pos="426"/>
        </w:tabs>
        <w:ind w:left="0" w:firstLine="0"/>
        <w:rPr>
          <w:rFonts w:ascii="Calibri" w:hAnsi="Calibri"/>
          <w:b/>
          <w:sz w:val="20"/>
          <w:szCs w:val="20"/>
        </w:rPr>
      </w:pPr>
      <w:r w:rsidRPr="00707839">
        <w:rPr>
          <w:rFonts w:ascii="Calibri" w:hAnsi="Calibri"/>
          <w:b/>
          <w:sz w:val="20"/>
          <w:szCs w:val="20"/>
        </w:rPr>
        <w:t>Calificaciones otorgadas.</w:t>
      </w:r>
    </w:p>
    <w:p w:rsidR="00A47351" w:rsidRDefault="00A47351" w:rsidP="00A47351">
      <w:pPr>
        <w:jc w:val="both"/>
        <w:rPr>
          <w:rFonts w:ascii="Calibri" w:hAnsi="Calibri"/>
          <w:sz w:val="20"/>
          <w:szCs w:val="20"/>
        </w:rPr>
      </w:pPr>
    </w:p>
    <w:p w:rsidR="006E7C7C" w:rsidRPr="00707839" w:rsidRDefault="006E7C7C" w:rsidP="00A47351">
      <w:pPr>
        <w:jc w:val="both"/>
        <w:rPr>
          <w:rFonts w:ascii="Calibri" w:hAnsi="Calibri"/>
          <w:sz w:val="20"/>
          <w:szCs w:val="20"/>
        </w:rPr>
      </w:pPr>
    </w:p>
    <w:p w:rsidR="00A47351" w:rsidRPr="00707839" w:rsidRDefault="00A47351" w:rsidP="00A47351">
      <w:pPr>
        <w:jc w:val="both"/>
        <w:rPr>
          <w:rFonts w:ascii="Calibri" w:hAnsi="Calibri"/>
          <w:sz w:val="20"/>
          <w:szCs w:val="20"/>
        </w:rPr>
      </w:pPr>
      <w:r w:rsidRPr="00707839">
        <w:rPr>
          <w:rFonts w:ascii="Calibri" w:hAnsi="Calibri"/>
          <w:sz w:val="20"/>
          <w:szCs w:val="20"/>
        </w:rPr>
        <w:t>El Fideicomiso Garante de la Orquesta Sinfónica de Yucatán no ha obtenido calificación crediticia alguna por el periodo del 1</w:t>
      </w:r>
      <w:r w:rsidR="007011D8" w:rsidRPr="00707839">
        <w:rPr>
          <w:rFonts w:ascii="Calibri" w:hAnsi="Calibri"/>
          <w:sz w:val="20"/>
          <w:szCs w:val="20"/>
        </w:rPr>
        <w:t xml:space="preserve"> de </w:t>
      </w:r>
      <w:r w:rsidR="00EF0E7F" w:rsidRPr="00707839">
        <w:rPr>
          <w:rFonts w:ascii="Calibri" w:hAnsi="Calibri"/>
          <w:sz w:val="20"/>
          <w:szCs w:val="20"/>
        </w:rPr>
        <w:t>enero</w:t>
      </w:r>
      <w:r w:rsidR="007011D8" w:rsidRPr="00707839">
        <w:rPr>
          <w:rFonts w:ascii="Calibri" w:hAnsi="Calibri"/>
          <w:sz w:val="20"/>
          <w:szCs w:val="20"/>
        </w:rPr>
        <w:t xml:space="preserve"> </w:t>
      </w:r>
      <w:r w:rsidR="00BD2A58" w:rsidRPr="00707839">
        <w:rPr>
          <w:rFonts w:ascii="Calibri" w:hAnsi="Calibri"/>
          <w:sz w:val="20"/>
          <w:szCs w:val="20"/>
        </w:rPr>
        <w:t xml:space="preserve">al </w:t>
      </w:r>
      <w:r w:rsidR="001A2FAC" w:rsidRPr="00707839">
        <w:rPr>
          <w:rFonts w:ascii="Calibri" w:hAnsi="Calibri"/>
          <w:sz w:val="20"/>
          <w:szCs w:val="20"/>
        </w:rPr>
        <w:t>31 de Mayo de 2022</w:t>
      </w:r>
      <w:r w:rsidRPr="00707839">
        <w:rPr>
          <w:rFonts w:ascii="Calibri" w:hAnsi="Calibri"/>
          <w:sz w:val="20"/>
          <w:szCs w:val="20"/>
        </w:rPr>
        <w:t xml:space="preserve">. </w:t>
      </w:r>
    </w:p>
    <w:p w:rsidR="00A47351" w:rsidRDefault="00A47351" w:rsidP="00A47351">
      <w:pPr>
        <w:jc w:val="both"/>
        <w:rPr>
          <w:rFonts w:ascii="Calibri" w:hAnsi="Calibri"/>
          <w:sz w:val="20"/>
          <w:szCs w:val="20"/>
        </w:rPr>
      </w:pPr>
    </w:p>
    <w:p w:rsidR="006E7C7C" w:rsidRPr="00707839" w:rsidRDefault="006E7C7C" w:rsidP="00A47351">
      <w:pPr>
        <w:jc w:val="both"/>
        <w:rPr>
          <w:rFonts w:ascii="Calibri" w:hAnsi="Calibri"/>
          <w:sz w:val="20"/>
          <w:szCs w:val="20"/>
        </w:rPr>
      </w:pPr>
    </w:p>
    <w:p w:rsidR="00A47351" w:rsidRPr="00707839" w:rsidRDefault="00A47351" w:rsidP="00A47351">
      <w:pPr>
        <w:pStyle w:val="Prrafodelista"/>
        <w:numPr>
          <w:ilvl w:val="0"/>
          <w:numId w:val="28"/>
        </w:numPr>
        <w:tabs>
          <w:tab w:val="left" w:pos="426"/>
        </w:tabs>
        <w:ind w:left="0" w:firstLine="0"/>
        <w:rPr>
          <w:rFonts w:ascii="Calibri" w:hAnsi="Calibri"/>
          <w:b/>
          <w:sz w:val="20"/>
          <w:szCs w:val="20"/>
        </w:rPr>
      </w:pPr>
      <w:r w:rsidRPr="00707839">
        <w:rPr>
          <w:rFonts w:ascii="Calibri" w:hAnsi="Calibri"/>
          <w:b/>
          <w:sz w:val="20"/>
          <w:szCs w:val="20"/>
        </w:rPr>
        <w:t>Proceso de Mejora.</w:t>
      </w:r>
    </w:p>
    <w:p w:rsidR="00A47351" w:rsidRDefault="00A47351" w:rsidP="00A47351">
      <w:pPr>
        <w:jc w:val="both"/>
        <w:rPr>
          <w:rFonts w:ascii="Calibri" w:hAnsi="Calibri"/>
          <w:sz w:val="20"/>
          <w:szCs w:val="20"/>
        </w:rPr>
      </w:pPr>
    </w:p>
    <w:p w:rsidR="006E7C7C" w:rsidRPr="00707839" w:rsidRDefault="006E7C7C" w:rsidP="00A47351">
      <w:pPr>
        <w:jc w:val="both"/>
        <w:rPr>
          <w:rFonts w:ascii="Calibri" w:hAnsi="Calibri"/>
          <w:sz w:val="20"/>
          <w:szCs w:val="20"/>
        </w:rPr>
      </w:pPr>
    </w:p>
    <w:p w:rsidR="00A47351" w:rsidRPr="00707839" w:rsidRDefault="00A47351" w:rsidP="00A47351">
      <w:pPr>
        <w:jc w:val="both"/>
        <w:rPr>
          <w:rFonts w:ascii="Calibri" w:hAnsi="Calibri"/>
          <w:sz w:val="20"/>
          <w:szCs w:val="20"/>
        </w:rPr>
      </w:pPr>
      <w:r w:rsidRPr="00707839">
        <w:rPr>
          <w:rFonts w:ascii="Calibri" w:hAnsi="Calibri"/>
          <w:sz w:val="20"/>
          <w:szCs w:val="20"/>
        </w:rPr>
        <w:t>Principales políticas de control interno:</w:t>
      </w:r>
    </w:p>
    <w:p w:rsidR="00A47351" w:rsidRDefault="00A47351" w:rsidP="00A47351">
      <w:pPr>
        <w:jc w:val="both"/>
        <w:rPr>
          <w:rFonts w:ascii="Calibri" w:hAnsi="Calibri"/>
          <w:sz w:val="20"/>
          <w:szCs w:val="20"/>
        </w:rPr>
      </w:pPr>
    </w:p>
    <w:p w:rsidR="006E7C7C" w:rsidRPr="00707839" w:rsidRDefault="006E7C7C" w:rsidP="00A47351">
      <w:pPr>
        <w:jc w:val="both"/>
        <w:rPr>
          <w:rFonts w:ascii="Calibri" w:hAnsi="Calibri"/>
          <w:sz w:val="20"/>
          <w:szCs w:val="20"/>
        </w:rPr>
      </w:pPr>
    </w:p>
    <w:p w:rsidR="00A47351" w:rsidRPr="00707839" w:rsidRDefault="00A47351" w:rsidP="00A47351">
      <w:pPr>
        <w:pStyle w:val="Prrafodelista"/>
        <w:numPr>
          <w:ilvl w:val="0"/>
          <w:numId w:val="33"/>
        </w:numPr>
        <w:tabs>
          <w:tab w:val="left" w:pos="284"/>
        </w:tabs>
        <w:ind w:left="0" w:firstLine="0"/>
        <w:jc w:val="both"/>
        <w:rPr>
          <w:rFonts w:ascii="Calibri" w:hAnsi="Calibri"/>
          <w:sz w:val="20"/>
          <w:szCs w:val="20"/>
        </w:rPr>
      </w:pPr>
      <w:r w:rsidRPr="00707839">
        <w:rPr>
          <w:rFonts w:ascii="Calibri" w:hAnsi="Calibri"/>
          <w:sz w:val="20"/>
          <w:szCs w:val="20"/>
        </w:rPr>
        <w:t>Formular un programa anual de trabajo para alinear al Plan Estatal de Desarrollo del Estado de Yucatán, así como subprogramas operativos específicos por áreas, en los que señalen las actividades que se llevarán a cabo durante el ejercicio para el logro de los objetivos del Fideicomiso Garante de la Orquesta Sinfónica de Yucatán.</w:t>
      </w:r>
    </w:p>
    <w:p w:rsidR="00A47351" w:rsidRPr="00707839" w:rsidRDefault="00A47351" w:rsidP="00A47351">
      <w:pPr>
        <w:pStyle w:val="Prrafodelista"/>
        <w:tabs>
          <w:tab w:val="left" w:pos="284"/>
        </w:tabs>
        <w:ind w:left="0"/>
        <w:jc w:val="both"/>
        <w:rPr>
          <w:rFonts w:ascii="Calibri" w:hAnsi="Calibri"/>
          <w:sz w:val="20"/>
          <w:szCs w:val="20"/>
        </w:rPr>
      </w:pPr>
    </w:p>
    <w:p w:rsidR="00A47351" w:rsidRPr="00707839" w:rsidRDefault="00A47351" w:rsidP="00A47351">
      <w:pPr>
        <w:pStyle w:val="Prrafodelista"/>
        <w:numPr>
          <w:ilvl w:val="0"/>
          <w:numId w:val="33"/>
        </w:numPr>
        <w:tabs>
          <w:tab w:val="left" w:pos="284"/>
        </w:tabs>
        <w:ind w:left="0" w:firstLine="0"/>
        <w:jc w:val="both"/>
        <w:rPr>
          <w:rFonts w:ascii="Calibri" w:hAnsi="Calibri"/>
          <w:sz w:val="20"/>
          <w:szCs w:val="20"/>
        </w:rPr>
      </w:pPr>
      <w:r w:rsidRPr="00707839">
        <w:rPr>
          <w:rFonts w:ascii="Calibri" w:hAnsi="Calibri"/>
          <w:sz w:val="20"/>
          <w:szCs w:val="20"/>
        </w:rPr>
        <w:t>Establecer los indicadores de desempeño, los cuales deberán ser evaluados en períodos trimestrales a fin de determinar la eficiencia y eficacia en el logro de los objetivos.</w:t>
      </w:r>
    </w:p>
    <w:p w:rsidR="00A47351" w:rsidRPr="00707839" w:rsidRDefault="00A47351" w:rsidP="00A47351">
      <w:pPr>
        <w:pStyle w:val="Prrafodelista"/>
        <w:rPr>
          <w:rFonts w:ascii="Calibri" w:hAnsi="Calibri"/>
          <w:sz w:val="20"/>
          <w:szCs w:val="20"/>
        </w:rPr>
      </w:pPr>
    </w:p>
    <w:p w:rsidR="00A47351" w:rsidRPr="00707839" w:rsidRDefault="00A47351" w:rsidP="00A47351">
      <w:pPr>
        <w:pStyle w:val="Prrafodelista"/>
        <w:numPr>
          <w:ilvl w:val="0"/>
          <w:numId w:val="33"/>
        </w:numPr>
        <w:tabs>
          <w:tab w:val="left" w:pos="284"/>
        </w:tabs>
        <w:ind w:left="0" w:firstLine="0"/>
        <w:jc w:val="both"/>
        <w:rPr>
          <w:rFonts w:ascii="Calibri" w:hAnsi="Calibri"/>
          <w:sz w:val="20"/>
          <w:szCs w:val="20"/>
        </w:rPr>
      </w:pPr>
      <w:r w:rsidRPr="00707839">
        <w:rPr>
          <w:rFonts w:ascii="Calibri" w:hAnsi="Calibri"/>
          <w:sz w:val="20"/>
          <w:szCs w:val="20"/>
        </w:rPr>
        <w:t>Implementar acciones de inducción al personal de nuevo ingreso y capacitación al personal que labora en Fideicomiso Garante de la Orquesta Sinfónica de Yucatán.</w:t>
      </w:r>
    </w:p>
    <w:p w:rsidR="00A47351" w:rsidRPr="00707839" w:rsidRDefault="00A47351" w:rsidP="00A47351">
      <w:pPr>
        <w:pStyle w:val="Prrafodelista"/>
        <w:rPr>
          <w:rFonts w:ascii="Calibri" w:hAnsi="Calibri"/>
          <w:sz w:val="20"/>
          <w:szCs w:val="20"/>
        </w:rPr>
      </w:pPr>
    </w:p>
    <w:p w:rsidR="00A47351" w:rsidRPr="00707839" w:rsidRDefault="00A47351" w:rsidP="00A47351">
      <w:pPr>
        <w:pStyle w:val="Prrafodelista"/>
        <w:numPr>
          <w:ilvl w:val="0"/>
          <w:numId w:val="33"/>
        </w:numPr>
        <w:tabs>
          <w:tab w:val="left" w:pos="284"/>
        </w:tabs>
        <w:ind w:left="0" w:firstLine="0"/>
        <w:jc w:val="both"/>
        <w:rPr>
          <w:rFonts w:ascii="Calibri" w:hAnsi="Calibri"/>
          <w:sz w:val="20"/>
          <w:szCs w:val="20"/>
        </w:rPr>
      </w:pPr>
      <w:r w:rsidRPr="00707839">
        <w:rPr>
          <w:rFonts w:ascii="Calibri" w:hAnsi="Calibri"/>
          <w:sz w:val="20"/>
          <w:szCs w:val="20"/>
        </w:rPr>
        <w:t>Llevar el control de asistencia diaria, mediante el registro de entradas y salidas conforme a las disposiciones legales y normativas aplicables.</w:t>
      </w:r>
    </w:p>
    <w:p w:rsidR="00A47351" w:rsidRPr="00707839" w:rsidRDefault="00A47351" w:rsidP="00A47351">
      <w:pPr>
        <w:pStyle w:val="Prrafodelista"/>
        <w:rPr>
          <w:rFonts w:ascii="Calibri" w:hAnsi="Calibri"/>
          <w:sz w:val="20"/>
          <w:szCs w:val="20"/>
        </w:rPr>
      </w:pPr>
    </w:p>
    <w:p w:rsidR="00A47351" w:rsidRPr="00707839" w:rsidRDefault="00A47351" w:rsidP="00A47351">
      <w:pPr>
        <w:pStyle w:val="Prrafodelista"/>
        <w:numPr>
          <w:ilvl w:val="0"/>
          <w:numId w:val="33"/>
        </w:numPr>
        <w:tabs>
          <w:tab w:val="left" w:pos="284"/>
        </w:tabs>
        <w:ind w:left="0" w:firstLine="0"/>
        <w:jc w:val="both"/>
        <w:rPr>
          <w:rFonts w:ascii="Calibri" w:hAnsi="Calibri"/>
          <w:sz w:val="20"/>
          <w:szCs w:val="20"/>
        </w:rPr>
      </w:pPr>
      <w:r w:rsidRPr="00707839">
        <w:rPr>
          <w:rFonts w:ascii="Calibri" w:hAnsi="Calibri"/>
          <w:sz w:val="20"/>
          <w:szCs w:val="20"/>
        </w:rPr>
        <w:lastRenderedPageBreak/>
        <w:t>Cumplir con los requerimientos establecidos en la Ley de Adquisiciones, Arrendamientos y Prestaciones de Servicios relacionados con Bienes Muebles y demás legislación aplicable.</w:t>
      </w:r>
    </w:p>
    <w:p w:rsidR="00A47351" w:rsidRPr="00707839" w:rsidRDefault="00A47351" w:rsidP="00A47351">
      <w:pPr>
        <w:pStyle w:val="Prrafodelista"/>
        <w:rPr>
          <w:rFonts w:ascii="Calibri" w:hAnsi="Calibri"/>
          <w:sz w:val="20"/>
          <w:szCs w:val="20"/>
        </w:rPr>
      </w:pPr>
    </w:p>
    <w:p w:rsidR="00A47351" w:rsidRPr="00707839" w:rsidRDefault="00A47351" w:rsidP="00A47351">
      <w:pPr>
        <w:pStyle w:val="Prrafodelista"/>
        <w:numPr>
          <w:ilvl w:val="0"/>
          <w:numId w:val="33"/>
        </w:numPr>
        <w:tabs>
          <w:tab w:val="left" w:pos="284"/>
        </w:tabs>
        <w:ind w:left="0" w:firstLine="0"/>
        <w:jc w:val="both"/>
        <w:rPr>
          <w:rFonts w:ascii="Calibri" w:hAnsi="Calibri"/>
          <w:sz w:val="20"/>
          <w:szCs w:val="20"/>
        </w:rPr>
      </w:pPr>
      <w:r w:rsidRPr="00707839">
        <w:rPr>
          <w:rFonts w:ascii="Calibri" w:hAnsi="Calibri"/>
          <w:sz w:val="20"/>
          <w:szCs w:val="20"/>
        </w:rPr>
        <w:t xml:space="preserve">Elaborar cartas de resguardos de bienes muebles al personal asignado, describiendo el tipo de bien y el número de inventario.  </w:t>
      </w:r>
    </w:p>
    <w:p w:rsidR="00A47351" w:rsidRPr="00707839" w:rsidRDefault="00A47351" w:rsidP="00A47351">
      <w:pPr>
        <w:pStyle w:val="Prrafodelista"/>
        <w:rPr>
          <w:rFonts w:ascii="Calibri" w:hAnsi="Calibri"/>
          <w:sz w:val="20"/>
          <w:szCs w:val="20"/>
        </w:rPr>
      </w:pPr>
    </w:p>
    <w:p w:rsidR="00A47351" w:rsidRPr="00707839" w:rsidRDefault="00A47351" w:rsidP="00A47351">
      <w:pPr>
        <w:pStyle w:val="Prrafodelista"/>
        <w:numPr>
          <w:ilvl w:val="0"/>
          <w:numId w:val="33"/>
        </w:numPr>
        <w:tabs>
          <w:tab w:val="left" w:pos="284"/>
        </w:tabs>
        <w:ind w:left="0" w:firstLine="0"/>
        <w:jc w:val="both"/>
        <w:rPr>
          <w:rFonts w:ascii="Calibri" w:hAnsi="Calibri"/>
          <w:sz w:val="20"/>
          <w:szCs w:val="20"/>
        </w:rPr>
      </w:pPr>
      <w:r w:rsidRPr="00707839">
        <w:rPr>
          <w:rFonts w:ascii="Calibri" w:hAnsi="Calibri"/>
          <w:sz w:val="20"/>
          <w:szCs w:val="20"/>
        </w:rPr>
        <w:t>Etiquetar los nuevos bienes muebles adquiridos dentro de los treinta días.</w:t>
      </w:r>
    </w:p>
    <w:p w:rsidR="00A47351" w:rsidRPr="00707839" w:rsidRDefault="00A47351" w:rsidP="00A47351">
      <w:pPr>
        <w:pStyle w:val="Prrafodelista"/>
        <w:rPr>
          <w:rFonts w:ascii="Calibri" w:hAnsi="Calibri"/>
          <w:sz w:val="20"/>
          <w:szCs w:val="20"/>
        </w:rPr>
      </w:pPr>
      <w:bookmarkStart w:id="0" w:name="_GoBack"/>
      <w:bookmarkEnd w:id="0"/>
    </w:p>
    <w:p w:rsidR="00A47351" w:rsidRPr="00707839" w:rsidRDefault="00A47351" w:rsidP="00A47351">
      <w:pPr>
        <w:pStyle w:val="Prrafodelista"/>
        <w:numPr>
          <w:ilvl w:val="0"/>
          <w:numId w:val="33"/>
        </w:numPr>
        <w:tabs>
          <w:tab w:val="left" w:pos="284"/>
        </w:tabs>
        <w:ind w:left="0" w:firstLine="0"/>
        <w:jc w:val="both"/>
        <w:rPr>
          <w:rFonts w:ascii="Calibri" w:hAnsi="Calibri"/>
          <w:sz w:val="20"/>
          <w:szCs w:val="20"/>
        </w:rPr>
      </w:pPr>
      <w:r w:rsidRPr="00707839">
        <w:rPr>
          <w:rFonts w:ascii="Calibri" w:hAnsi="Calibri"/>
          <w:sz w:val="20"/>
          <w:szCs w:val="20"/>
        </w:rPr>
        <w:t>Efectuar conciliaciones bancarias, al menos una vez al mes, a fin de analizar los movimientos bancarios.</w:t>
      </w:r>
    </w:p>
    <w:p w:rsidR="00A47351" w:rsidRPr="00707839" w:rsidRDefault="00A47351" w:rsidP="00A47351">
      <w:pPr>
        <w:pStyle w:val="Prrafodelista"/>
        <w:rPr>
          <w:rFonts w:ascii="Calibri" w:hAnsi="Calibri"/>
          <w:sz w:val="20"/>
          <w:szCs w:val="20"/>
        </w:rPr>
      </w:pPr>
    </w:p>
    <w:p w:rsidR="00A47351" w:rsidRPr="00707839" w:rsidRDefault="00A47351" w:rsidP="00A47351">
      <w:pPr>
        <w:pStyle w:val="Prrafodelista"/>
        <w:numPr>
          <w:ilvl w:val="0"/>
          <w:numId w:val="33"/>
        </w:numPr>
        <w:tabs>
          <w:tab w:val="left" w:pos="284"/>
        </w:tabs>
        <w:ind w:left="0" w:firstLine="0"/>
        <w:jc w:val="both"/>
        <w:rPr>
          <w:rFonts w:ascii="Calibri" w:hAnsi="Calibri"/>
          <w:sz w:val="20"/>
          <w:szCs w:val="20"/>
        </w:rPr>
      </w:pPr>
      <w:r w:rsidRPr="00707839">
        <w:rPr>
          <w:rFonts w:ascii="Calibri" w:hAnsi="Calibri"/>
          <w:sz w:val="20"/>
          <w:szCs w:val="20"/>
        </w:rPr>
        <w:t xml:space="preserve">Contar con firmas mancomunadas para el uso de cuentas bancarias. </w:t>
      </w:r>
    </w:p>
    <w:p w:rsidR="00A47351" w:rsidRDefault="00A47351" w:rsidP="00A47351">
      <w:pPr>
        <w:jc w:val="both"/>
        <w:rPr>
          <w:rFonts w:ascii="Calibri" w:hAnsi="Calibri"/>
          <w:sz w:val="20"/>
          <w:szCs w:val="20"/>
        </w:rPr>
      </w:pPr>
    </w:p>
    <w:p w:rsidR="006E7C7C" w:rsidRPr="00707839" w:rsidRDefault="006E7C7C" w:rsidP="00A47351">
      <w:pPr>
        <w:jc w:val="both"/>
        <w:rPr>
          <w:rFonts w:ascii="Calibri" w:hAnsi="Calibri"/>
          <w:sz w:val="20"/>
          <w:szCs w:val="20"/>
        </w:rPr>
      </w:pPr>
    </w:p>
    <w:p w:rsidR="00A47351" w:rsidRPr="00707839" w:rsidRDefault="00A47351" w:rsidP="00A47351">
      <w:pPr>
        <w:pStyle w:val="Prrafodelista"/>
        <w:numPr>
          <w:ilvl w:val="0"/>
          <w:numId w:val="28"/>
        </w:numPr>
        <w:tabs>
          <w:tab w:val="left" w:pos="426"/>
        </w:tabs>
        <w:ind w:left="0" w:firstLine="0"/>
        <w:rPr>
          <w:rFonts w:ascii="Calibri" w:hAnsi="Calibri"/>
          <w:b/>
          <w:sz w:val="20"/>
          <w:szCs w:val="20"/>
        </w:rPr>
      </w:pPr>
      <w:r w:rsidRPr="00707839">
        <w:rPr>
          <w:rFonts w:ascii="Calibri" w:hAnsi="Calibri"/>
          <w:b/>
          <w:sz w:val="20"/>
          <w:szCs w:val="20"/>
        </w:rPr>
        <w:t>Información por Segmentos.</w:t>
      </w:r>
    </w:p>
    <w:p w:rsidR="00A47351" w:rsidRDefault="00A47351" w:rsidP="00A47351">
      <w:pPr>
        <w:jc w:val="both"/>
        <w:rPr>
          <w:rFonts w:ascii="Calibri" w:hAnsi="Calibri"/>
          <w:sz w:val="20"/>
          <w:szCs w:val="20"/>
        </w:rPr>
      </w:pPr>
    </w:p>
    <w:p w:rsidR="006E7C7C" w:rsidRPr="00707839" w:rsidRDefault="006E7C7C" w:rsidP="00A47351">
      <w:pPr>
        <w:jc w:val="both"/>
        <w:rPr>
          <w:rFonts w:ascii="Calibri" w:hAnsi="Calibri"/>
          <w:sz w:val="20"/>
          <w:szCs w:val="20"/>
        </w:rPr>
      </w:pPr>
    </w:p>
    <w:p w:rsidR="00A47351" w:rsidRPr="00707839" w:rsidRDefault="00A47351" w:rsidP="00A47351">
      <w:pPr>
        <w:jc w:val="both"/>
        <w:rPr>
          <w:rFonts w:ascii="Calibri" w:hAnsi="Calibri"/>
          <w:sz w:val="20"/>
          <w:szCs w:val="20"/>
        </w:rPr>
      </w:pPr>
      <w:r w:rsidRPr="00707839">
        <w:rPr>
          <w:rFonts w:ascii="Calibri" w:hAnsi="Calibri"/>
          <w:sz w:val="20"/>
          <w:szCs w:val="20"/>
        </w:rPr>
        <w:t>Durante el período del 1</w:t>
      </w:r>
      <w:r w:rsidR="007011D8" w:rsidRPr="00707839">
        <w:rPr>
          <w:rFonts w:ascii="Calibri" w:hAnsi="Calibri"/>
          <w:sz w:val="20"/>
          <w:szCs w:val="20"/>
        </w:rPr>
        <w:t xml:space="preserve"> de Enero </w:t>
      </w:r>
      <w:r w:rsidR="00BD2A58" w:rsidRPr="00707839">
        <w:rPr>
          <w:rFonts w:ascii="Calibri" w:hAnsi="Calibri"/>
          <w:sz w:val="20"/>
          <w:szCs w:val="20"/>
        </w:rPr>
        <w:t xml:space="preserve">al </w:t>
      </w:r>
      <w:r w:rsidR="001A2FAC" w:rsidRPr="00707839">
        <w:rPr>
          <w:rFonts w:ascii="Calibri" w:hAnsi="Calibri"/>
          <w:sz w:val="20"/>
          <w:szCs w:val="20"/>
        </w:rPr>
        <w:t>31 de Mayo de 2022</w:t>
      </w:r>
      <w:r w:rsidRPr="00707839">
        <w:rPr>
          <w:rFonts w:ascii="Calibri" w:hAnsi="Calibri"/>
          <w:sz w:val="20"/>
          <w:szCs w:val="20"/>
        </w:rPr>
        <w:t>, los recursos transferidos por la Secretaría de Administración y Finanzas y los ingresos recaudados por el Fideicomiso (recursos propios), han sido aplicados de manera correcta y respetando las disposiciones legales vigentes.</w:t>
      </w:r>
    </w:p>
    <w:p w:rsidR="00A47351" w:rsidRPr="00707839" w:rsidRDefault="00A47351" w:rsidP="00707839">
      <w:pPr>
        <w:ind w:left="708" w:hanging="708"/>
        <w:jc w:val="both"/>
        <w:rPr>
          <w:rFonts w:ascii="Calibri" w:hAnsi="Calibri"/>
          <w:sz w:val="20"/>
          <w:szCs w:val="20"/>
        </w:rPr>
      </w:pPr>
    </w:p>
    <w:p w:rsidR="0060248C" w:rsidRPr="00707839" w:rsidRDefault="00F772C7" w:rsidP="00A47351">
      <w:pPr>
        <w:jc w:val="both"/>
        <w:rPr>
          <w:rFonts w:ascii="Calibri" w:hAnsi="Calibri"/>
          <w:sz w:val="20"/>
          <w:szCs w:val="20"/>
        </w:rPr>
      </w:pPr>
      <w:r w:rsidRPr="00707839">
        <w:rPr>
          <w:rFonts w:ascii="Calibri" w:hAnsi="Calibri"/>
          <w:sz w:val="20"/>
          <w:szCs w:val="20"/>
        </w:rPr>
        <w:t>Para llevar a cabo las actividades que fueron programadas por la Orquesta Sinfónica de Yucatán en el año 2022, se erogó la cantidad de $875,102.11, con el fin de realizar los eventos artísticos y la promoción de los conciertos en los medios electrónicos e impresos. Para tal efecto, se realizaron 24 conciertos presenciales de la temporada XXXVII Enero-Junio de la Orquesta Sinfónica de Yucatán, contando con una asistencia total de 9,561 personas. El promedio de asistencia por concierto es de 398 personas, la meta establecida en el Programa Operativo Anual No. 12105-Proyecto de Presentaciones de la Orquesta Sinfónica de Yucatán, que asciende a 225 personas por evento.</w:t>
      </w:r>
    </w:p>
    <w:p w:rsidR="00F772C7" w:rsidRDefault="00F772C7" w:rsidP="00A47351">
      <w:pPr>
        <w:jc w:val="both"/>
        <w:rPr>
          <w:rFonts w:ascii="Calibri" w:hAnsi="Calibri"/>
          <w:sz w:val="20"/>
          <w:szCs w:val="20"/>
        </w:rPr>
      </w:pPr>
    </w:p>
    <w:p w:rsidR="006E7C7C" w:rsidRPr="00707839" w:rsidRDefault="006E7C7C" w:rsidP="00A47351">
      <w:pPr>
        <w:jc w:val="both"/>
        <w:rPr>
          <w:rFonts w:ascii="Calibri" w:hAnsi="Calibri"/>
          <w:sz w:val="20"/>
          <w:szCs w:val="20"/>
        </w:rPr>
      </w:pPr>
    </w:p>
    <w:p w:rsidR="00A47351" w:rsidRPr="00707839" w:rsidRDefault="00A47351" w:rsidP="00A47351">
      <w:pPr>
        <w:pStyle w:val="Prrafodelista"/>
        <w:numPr>
          <w:ilvl w:val="0"/>
          <w:numId w:val="28"/>
        </w:numPr>
        <w:tabs>
          <w:tab w:val="left" w:pos="426"/>
        </w:tabs>
        <w:ind w:left="0" w:firstLine="0"/>
        <w:rPr>
          <w:rFonts w:ascii="Calibri" w:hAnsi="Calibri"/>
          <w:b/>
          <w:sz w:val="20"/>
          <w:szCs w:val="20"/>
        </w:rPr>
      </w:pPr>
      <w:r w:rsidRPr="00707839">
        <w:rPr>
          <w:rFonts w:ascii="Calibri" w:hAnsi="Calibri"/>
          <w:b/>
          <w:sz w:val="20"/>
          <w:szCs w:val="20"/>
        </w:rPr>
        <w:t>Eventos Posteriores al Cierre.</w:t>
      </w:r>
    </w:p>
    <w:p w:rsidR="00A47351" w:rsidRDefault="00A47351" w:rsidP="00A47351">
      <w:pPr>
        <w:jc w:val="both"/>
        <w:rPr>
          <w:rFonts w:ascii="Calibri" w:hAnsi="Calibri"/>
          <w:sz w:val="20"/>
          <w:szCs w:val="20"/>
        </w:rPr>
      </w:pPr>
    </w:p>
    <w:p w:rsidR="006E7C7C" w:rsidRPr="00707839" w:rsidRDefault="006E7C7C" w:rsidP="00A47351">
      <w:pPr>
        <w:jc w:val="both"/>
        <w:rPr>
          <w:rFonts w:ascii="Calibri" w:hAnsi="Calibri"/>
          <w:sz w:val="20"/>
          <w:szCs w:val="20"/>
        </w:rPr>
      </w:pPr>
    </w:p>
    <w:p w:rsidR="00A47351" w:rsidRPr="00707839" w:rsidRDefault="00A47351" w:rsidP="00A47351">
      <w:pPr>
        <w:jc w:val="both"/>
        <w:rPr>
          <w:rFonts w:ascii="Calibri" w:hAnsi="Calibri"/>
          <w:sz w:val="20"/>
          <w:szCs w:val="20"/>
        </w:rPr>
      </w:pPr>
      <w:r w:rsidRPr="00707839">
        <w:rPr>
          <w:rFonts w:ascii="Calibri" w:hAnsi="Calibri"/>
          <w:sz w:val="20"/>
          <w:szCs w:val="20"/>
        </w:rPr>
        <w:t xml:space="preserve">El Fideicomiso Garante de la Orquesta Sinfónica de Yucatán no ha registrado operación alguna, posterior al cierre contable de la información contable, presupuestal de fecha </w:t>
      </w:r>
      <w:r w:rsidR="001A2FAC" w:rsidRPr="00707839">
        <w:rPr>
          <w:rFonts w:ascii="Calibri" w:hAnsi="Calibri"/>
          <w:sz w:val="20"/>
          <w:szCs w:val="20"/>
        </w:rPr>
        <w:t>31 de Mayo de 2022</w:t>
      </w:r>
      <w:r w:rsidRPr="00707839">
        <w:rPr>
          <w:rFonts w:ascii="Calibri" w:hAnsi="Calibri"/>
          <w:sz w:val="20"/>
          <w:szCs w:val="20"/>
        </w:rPr>
        <w:t xml:space="preserve">.  </w:t>
      </w:r>
    </w:p>
    <w:p w:rsidR="007B669C" w:rsidRDefault="007B669C" w:rsidP="00A47351">
      <w:pPr>
        <w:jc w:val="both"/>
        <w:rPr>
          <w:rFonts w:ascii="Calibri" w:hAnsi="Calibri"/>
          <w:sz w:val="20"/>
          <w:szCs w:val="20"/>
        </w:rPr>
      </w:pPr>
    </w:p>
    <w:p w:rsidR="006E7C7C" w:rsidRDefault="006E7C7C" w:rsidP="00A47351">
      <w:pPr>
        <w:jc w:val="both"/>
        <w:rPr>
          <w:rFonts w:ascii="Calibri" w:hAnsi="Calibri"/>
          <w:sz w:val="20"/>
          <w:szCs w:val="20"/>
        </w:rPr>
      </w:pPr>
    </w:p>
    <w:p w:rsidR="006E7C7C" w:rsidRPr="00707839" w:rsidRDefault="006E7C7C" w:rsidP="00A47351">
      <w:pPr>
        <w:jc w:val="both"/>
        <w:rPr>
          <w:rFonts w:ascii="Calibri" w:hAnsi="Calibri"/>
          <w:sz w:val="20"/>
          <w:szCs w:val="20"/>
        </w:rPr>
      </w:pPr>
    </w:p>
    <w:p w:rsidR="00A47351" w:rsidRPr="00707839" w:rsidRDefault="00A47351" w:rsidP="00A47351">
      <w:pPr>
        <w:pStyle w:val="Prrafodelista"/>
        <w:numPr>
          <w:ilvl w:val="0"/>
          <w:numId w:val="28"/>
        </w:numPr>
        <w:tabs>
          <w:tab w:val="left" w:pos="426"/>
        </w:tabs>
        <w:ind w:left="0" w:firstLine="0"/>
        <w:rPr>
          <w:rFonts w:ascii="Calibri" w:hAnsi="Calibri"/>
          <w:b/>
          <w:sz w:val="20"/>
          <w:szCs w:val="20"/>
        </w:rPr>
      </w:pPr>
      <w:r w:rsidRPr="00707839">
        <w:rPr>
          <w:rFonts w:ascii="Calibri" w:hAnsi="Calibri"/>
          <w:b/>
          <w:sz w:val="20"/>
          <w:szCs w:val="20"/>
        </w:rPr>
        <w:t>Partes relacionadas.</w:t>
      </w:r>
    </w:p>
    <w:p w:rsidR="00A47351" w:rsidRPr="00707839" w:rsidRDefault="00A47351" w:rsidP="003323E0">
      <w:pPr>
        <w:pStyle w:val="Prrafodelista"/>
        <w:tabs>
          <w:tab w:val="left" w:pos="426"/>
        </w:tabs>
        <w:ind w:left="426" w:hanging="426"/>
        <w:rPr>
          <w:rFonts w:ascii="Calibri" w:hAnsi="Calibri"/>
          <w:b/>
          <w:sz w:val="20"/>
          <w:szCs w:val="20"/>
        </w:rPr>
      </w:pPr>
    </w:p>
    <w:p w:rsidR="00A47351" w:rsidRPr="00707839" w:rsidRDefault="00A47351" w:rsidP="00A47351">
      <w:pPr>
        <w:autoSpaceDE w:val="0"/>
        <w:jc w:val="both"/>
        <w:rPr>
          <w:rFonts w:ascii="Calibri" w:hAnsi="Calibri"/>
          <w:sz w:val="20"/>
          <w:szCs w:val="20"/>
        </w:rPr>
      </w:pPr>
      <w:r w:rsidRPr="00707839">
        <w:rPr>
          <w:rFonts w:ascii="Calibri" w:hAnsi="Calibri"/>
          <w:sz w:val="20"/>
          <w:szCs w:val="20"/>
        </w:rPr>
        <w:t>Se manifiesta que no existen partes relacionadas que pudieran ejercer influencia significativa sobre la toma de decisiones y financieras y operativas.</w:t>
      </w:r>
    </w:p>
    <w:p w:rsidR="00A47351" w:rsidRPr="00707839" w:rsidRDefault="00A47351" w:rsidP="00A47351">
      <w:pPr>
        <w:pStyle w:val="Textoindependiente2"/>
        <w:tabs>
          <w:tab w:val="left" w:pos="7965"/>
        </w:tabs>
        <w:rPr>
          <w:rFonts w:ascii="Calibri" w:hAnsi="Calibri"/>
          <w:sz w:val="20"/>
          <w:szCs w:val="20"/>
        </w:rPr>
      </w:pPr>
      <w:r w:rsidRPr="00707839">
        <w:rPr>
          <w:rFonts w:ascii="Calibri" w:hAnsi="Calibri"/>
          <w:sz w:val="20"/>
          <w:szCs w:val="20"/>
        </w:rPr>
        <w:tab/>
      </w:r>
    </w:p>
    <w:p w:rsidR="00A47351" w:rsidRPr="00707839" w:rsidRDefault="00A47351" w:rsidP="00A47351">
      <w:pPr>
        <w:jc w:val="both"/>
        <w:rPr>
          <w:rFonts w:ascii="Calibri" w:hAnsi="Calibri"/>
          <w:sz w:val="20"/>
          <w:szCs w:val="20"/>
        </w:rPr>
      </w:pPr>
      <w:r w:rsidRPr="00707839">
        <w:rPr>
          <w:rFonts w:ascii="Calibri" w:hAnsi="Calibri"/>
          <w:sz w:val="20"/>
          <w:szCs w:val="20"/>
        </w:rPr>
        <w:t>Estas notas son parte integrante de los estados financiero</w:t>
      </w:r>
      <w:r w:rsidR="007011D8" w:rsidRPr="00707839">
        <w:rPr>
          <w:rFonts w:ascii="Calibri" w:hAnsi="Calibri"/>
          <w:sz w:val="20"/>
          <w:szCs w:val="20"/>
        </w:rPr>
        <w:t xml:space="preserve">s </w:t>
      </w:r>
      <w:r w:rsidR="00BD2A58" w:rsidRPr="00707839">
        <w:rPr>
          <w:rFonts w:ascii="Calibri" w:hAnsi="Calibri"/>
          <w:sz w:val="20"/>
          <w:szCs w:val="20"/>
        </w:rPr>
        <w:t xml:space="preserve">al </w:t>
      </w:r>
      <w:r w:rsidR="001A2FAC" w:rsidRPr="00707839">
        <w:rPr>
          <w:rFonts w:ascii="Calibri" w:hAnsi="Calibri"/>
          <w:sz w:val="20"/>
          <w:szCs w:val="20"/>
        </w:rPr>
        <w:t>31 de Mayo de 2022</w:t>
      </w:r>
      <w:r w:rsidR="00544920" w:rsidRPr="00707839">
        <w:rPr>
          <w:rFonts w:ascii="Calibri" w:hAnsi="Calibri"/>
          <w:sz w:val="20"/>
          <w:szCs w:val="20"/>
        </w:rPr>
        <w:t>.</w:t>
      </w:r>
    </w:p>
    <w:p w:rsidR="007F6C9A" w:rsidRPr="00707839" w:rsidRDefault="007F6C9A" w:rsidP="007F6C9A">
      <w:pPr>
        <w:tabs>
          <w:tab w:val="left" w:pos="2475"/>
        </w:tabs>
        <w:jc w:val="both"/>
        <w:rPr>
          <w:rFonts w:ascii="Calibri" w:hAnsi="Calibri"/>
          <w:sz w:val="20"/>
          <w:szCs w:val="20"/>
        </w:rPr>
      </w:pPr>
    </w:p>
    <w:p w:rsidR="00CE128A" w:rsidRDefault="00A46F71" w:rsidP="007F6C9A">
      <w:pPr>
        <w:tabs>
          <w:tab w:val="left" w:pos="2475"/>
        </w:tabs>
        <w:jc w:val="center"/>
        <w:rPr>
          <w:rFonts w:ascii="Calibri" w:hAnsi="Calibri"/>
          <w:sz w:val="20"/>
          <w:szCs w:val="20"/>
        </w:rPr>
      </w:pPr>
      <w:r w:rsidRPr="00707839">
        <w:rPr>
          <w:rFonts w:ascii="Calibri" w:hAnsi="Calibri"/>
          <w:sz w:val="20"/>
          <w:szCs w:val="20"/>
        </w:rPr>
        <w:t>“</w:t>
      </w:r>
      <w:r w:rsidR="0092234B" w:rsidRPr="00707839">
        <w:rPr>
          <w:rFonts w:ascii="Calibri" w:hAnsi="Calibri"/>
          <w:sz w:val="20"/>
          <w:szCs w:val="20"/>
        </w:rPr>
        <w:t>Bajo protesta de decir verdad declaramos que</w:t>
      </w:r>
      <w:r w:rsidR="00350538" w:rsidRPr="00707839">
        <w:rPr>
          <w:rFonts w:ascii="Calibri" w:hAnsi="Calibri"/>
          <w:sz w:val="20"/>
          <w:szCs w:val="20"/>
        </w:rPr>
        <w:t xml:space="preserve"> los Estados Financieros y sus n</w:t>
      </w:r>
      <w:r w:rsidR="004735B5" w:rsidRPr="00707839">
        <w:rPr>
          <w:rFonts w:ascii="Calibri" w:hAnsi="Calibri"/>
          <w:sz w:val="20"/>
          <w:szCs w:val="20"/>
        </w:rPr>
        <w:t xml:space="preserve">otas </w:t>
      </w:r>
      <w:r w:rsidR="0092234B" w:rsidRPr="00707839">
        <w:rPr>
          <w:rFonts w:ascii="Calibri" w:hAnsi="Calibri"/>
          <w:sz w:val="20"/>
          <w:szCs w:val="20"/>
        </w:rPr>
        <w:t>son razonablemente correctos y</w:t>
      </w:r>
      <w:r w:rsidR="009956B5" w:rsidRPr="00707839">
        <w:rPr>
          <w:rFonts w:ascii="Calibri" w:hAnsi="Calibri"/>
          <w:sz w:val="20"/>
          <w:szCs w:val="20"/>
        </w:rPr>
        <w:t xml:space="preserve"> son</w:t>
      </w:r>
      <w:r w:rsidR="0092234B" w:rsidRPr="00707839">
        <w:rPr>
          <w:rFonts w:ascii="Calibri" w:hAnsi="Calibri"/>
          <w:sz w:val="20"/>
          <w:szCs w:val="20"/>
        </w:rPr>
        <w:t xml:space="preserve"> responsabilidad del emisor</w:t>
      </w:r>
      <w:r w:rsidRPr="00707839">
        <w:rPr>
          <w:rFonts w:ascii="Calibri" w:hAnsi="Calibri"/>
          <w:sz w:val="20"/>
          <w:szCs w:val="20"/>
        </w:rPr>
        <w:t>”</w:t>
      </w:r>
    </w:p>
    <w:p w:rsidR="006E7C7C" w:rsidRDefault="006E7C7C" w:rsidP="007F6C9A">
      <w:pPr>
        <w:tabs>
          <w:tab w:val="left" w:pos="2475"/>
        </w:tabs>
        <w:jc w:val="center"/>
        <w:rPr>
          <w:rFonts w:ascii="Calibri" w:hAnsi="Calibri"/>
          <w:sz w:val="20"/>
          <w:szCs w:val="20"/>
        </w:rPr>
      </w:pPr>
    </w:p>
    <w:p w:rsidR="006E7C7C" w:rsidRPr="002F68B7" w:rsidRDefault="006E7C7C" w:rsidP="006E7C7C">
      <w:pPr>
        <w:rPr>
          <w:rFonts w:ascii="Calibri" w:hAnsi="Calibri" w:cs="Arial"/>
          <w:bCs/>
          <w:sz w:val="20"/>
          <w:szCs w:val="20"/>
        </w:rPr>
      </w:pPr>
    </w:p>
    <w:p w:rsidR="006E7C7C" w:rsidRPr="002F68B7" w:rsidRDefault="006E7C7C" w:rsidP="006E7C7C">
      <w:pPr>
        <w:jc w:val="center"/>
        <w:rPr>
          <w:rFonts w:ascii="Calibri" w:hAnsi="Calibri" w:cs="Arial"/>
          <w:sz w:val="20"/>
          <w:szCs w:val="20"/>
          <w:lang w:val="es-ES"/>
        </w:rPr>
      </w:pPr>
      <w:r w:rsidRPr="002F68B7">
        <w:rPr>
          <w:rFonts w:ascii="Calibri" w:hAnsi="Calibri"/>
          <w:sz w:val="20"/>
          <w:szCs w:val="20"/>
        </w:rPr>
        <w:t>Revisó                                                                                                            Visto Bueno</w:t>
      </w:r>
    </w:p>
    <w:p w:rsidR="006E7C7C" w:rsidRPr="002F68B7" w:rsidRDefault="006E7C7C" w:rsidP="006E7C7C">
      <w:pPr>
        <w:jc w:val="center"/>
        <w:rPr>
          <w:rFonts w:ascii="Calibri" w:hAnsi="Calibri" w:cs="Arial"/>
          <w:sz w:val="20"/>
          <w:szCs w:val="20"/>
        </w:rPr>
      </w:pPr>
    </w:p>
    <w:p w:rsidR="006E7C7C" w:rsidRPr="002F68B7" w:rsidRDefault="006E7C7C" w:rsidP="006E7C7C">
      <w:pPr>
        <w:jc w:val="center"/>
        <w:rPr>
          <w:rFonts w:ascii="Calibri" w:hAnsi="Calibri" w:cs="Arial"/>
          <w:sz w:val="20"/>
          <w:szCs w:val="20"/>
        </w:rPr>
      </w:pPr>
    </w:p>
    <w:p w:rsidR="006E7C7C" w:rsidRPr="002F68B7" w:rsidRDefault="006E7C7C" w:rsidP="006E7C7C">
      <w:pPr>
        <w:jc w:val="center"/>
        <w:rPr>
          <w:rFonts w:ascii="Calibri" w:hAnsi="Calibri" w:cs="Arial"/>
          <w:sz w:val="20"/>
          <w:szCs w:val="20"/>
        </w:rPr>
      </w:pPr>
    </w:p>
    <w:p w:rsidR="006E7C7C" w:rsidRPr="002F68B7" w:rsidRDefault="006E7C7C" w:rsidP="006E7C7C">
      <w:pPr>
        <w:jc w:val="center"/>
        <w:rPr>
          <w:rFonts w:ascii="Calibri" w:hAnsi="Calibri" w:cs="Arial"/>
          <w:sz w:val="20"/>
          <w:szCs w:val="20"/>
        </w:rPr>
      </w:pPr>
    </w:p>
    <w:p w:rsidR="006E7C7C" w:rsidRPr="002F68B7" w:rsidRDefault="006E7C7C" w:rsidP="006E7C7C">
      <w:pPr>
        <w:jc w:val="center"/>
        <w:rPr>
          <w:rFonts w:ascii="Calibri" w:hAnsi="Calibri" w:cs="Arial"/>
          <w:sz w:val="20"/>
          <w:szCs w:val="20"/>
        </w:rPr>
      </w:pPr>
    </w:p>
    <w:p w:rsidR="006E7C7C" w:rsidRPr="002F68B7" w:rsidRDefault="006E7C7C" w:rsidP="006E7C7C">
      <w:pPr>
        <w:jc w:val="center"/>
        <w:rPr>
          <w:rFonts w:ascii="Calibri" w:hAnsi="Calibri" w:cs="Arial"/>
          <w:sz w:val="20"/>
          <w:szCs w:val="20"/>
        </w:rPr>
      </w:pPr>
    </w:p>
    <w:p w:rsidR="006E7C7C" w:rsidRPr="002F68B7" w:rsidRDefault="006E7C7C" w:rsidP="006E7C7C">
      <w:pPr>
        <w:tabs>
          <w:tab w:val="left" w:pos="3682"/>
        </w:tabs>
        <w:jc w:val="center"/>
        <w:rPr>
          <w:rFonts w:ascii="Calibri" w:hAnsi="Calibri" w:cs="Arial"/>
          <w:sz w:val="20"/>
          <w:szCs w:val="20"/>
          <w:lang w:val="es-ES"/>
        </w:rPr>
      </w:pPr>
    </w:p>
    <w:p w:rsidR="006E7C7C" w:rsidRPr="002F68B7" w:rsidRDefault="006E7C7C" w:rsidP="006E7C7C">
      <w:pPr>
        <w:tabs>
          <w:tab w:val="left" w:pos="3682"/>
        </w:tabs>
        <w:jc w:val="center"/>
        <w:rPr>
          <w:rFonts w:ascii="Calibri" w:hAnsi="Calibri" w:cs="Arial"/>
          <w:sz w:val="20"/>
          <w:szCs w:val="20"/>
        </w:rPr>
      </w:pPr>
      <w:r w:rsidRPr="002F68B7">
        <w:rPr>
          <w:noProof/>
          <w:lang w:eastAsia="es-MX"/>
        </w:rPr>
        <mc:AlternateContent>
          <mc:Choice Requires="wps">
            <w:drawing>
              <wp:anchor distT="4294967294" distB="4294967294" distL="114300" distR="114300" simplePos="0" relativeHeight="251659264" behindDoc="0" locked="0" layoutInCell="1" allowOverlap="1" wp14:anchorId="74DB213C" wp14:editId="1596F1DC">
                <wp:simplePos x="0" y="0"/>
                <wp:positionH relativeFrom="column">
                  <wp:posOffset>1284194</wp:posOffset>
                </wp:positionH>
                <wp:positionV relativeFrom="paragraph">
                  <wp:posOffset>12700</wp:posOffset>
                </wp:positionV>
                <wp:extent cx="2057400" cy="0"/>
                <wp:effectExtent l="0" t="0" r="19050" b="1905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88346" id="Line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1.1pt,1pt" to="263.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a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"/>
            </w:pict>
          </mc:Fallback>
        </mc:AlternateContent>
      </w:r>
      <w:r w:rsidRPr="002F68B7">
        <w:rPr>
          <w:noProof/>
          <w:lang w:eastAsia="es-MX"/>
        </w:rPr>
        <mc:AlternateContent>
          <mc:Choice Requires="wps">
            <w:drawing>
              <wp:anchor distT="4294967294" distB="4294967294" distL="114300" distR="114300" simplePos="0" relativeHeight="251660288" behindDoc="0" locked="0" layoutInCell="1" allowOverlap="1" wp14:anchorId="5AC95086" wp14:editId="78230915">
                <wp:simplePos x="0" y="0"/>
                <wp:positionH relativeFrom="column">
                  <wp:posOffset>5197289</wp:posOffset>
                </wp:positionH>
                <wp:positionV relativeFrom="paragraph">
                  <wp:posOffset>12700</wp:posOffset>
                </wp:positionV>
                <wp:extent cx="2171700" cy="0"/>
                <wp:effectExtent l="0" t="0" r="1905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6C0AC" id="Line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9.25pt,1pt" to="580.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ibJEQ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"/>
            </w:pict>
          </mc:Fallback>
        </mc:AlternateContent>
      </w:r>
      <w:r w:rsidRPr="002F68B7">
        <w:rPr>
          <w:rFonts w:ascii="Calibri" w:hAnsi="Calibri"/>
          <w:sz w:val="20"/>
          <w:szCs w:val="20"/>
        </w:rPr>
        <w:t>C.P. Manuel Jesús González Cardeña</w:t>
      </w:r>
      <w:r w:rsidRPr="002F68B7">
        <w:rPr>
          <w:rFonts w:ascii="Calibri" w:hAnsi="Calibri" w:cs="Arial"/>
          <w:sz w:val="20"/>
          <w:szCs w:val="20"/>
          <w:lang w:val="es-ES"/>
        </w:rPr>
        <w:tab/>
        <w:t xml:space="preserve">     </w:t>
      </w:r>
      <w:r w:rsidRPr="002F68B7">
        <w:rPr>
          <w:rFonts w:ascii="Calibri" w:hAnsi="Calibri" w:cs="Arial"/>
          <w:sz w:val="20"/>
          <w:szCs w:val="20"/>
          <w:lang w:val="es-ES"/>
        </w:rPr>
        <w:tab/>
        <w:t xml:space="preserve">                                         C.P. M</w:t>
      </w:r>
      <w:proofErr w:type="spellStart"/>
      <w:r w:rsidRPr="002F68B7">
        <w:rPr>
          <w:rFonts w:ascii="Calibri" w:hAnsi="Calibri"/>
          <w:sz w:val="20"/>
          <w:szCs w:val="20"/>
        </w:rPr>
        <w:t>iguel</w:t>
      </w:r>
      <w:proofErr w:type="spellEnd"/>
      <w:r w:rsidRPr="002F68B7">
        <w:rPr>
          <w:rFonts w:ascii="Calibri" w:hAnsi="Calibri"/>
          <w:sz w:val="20"/>
          <w:szCs w:val="20"/>
        </w:rPr>
        <w:t xml:space="preserve"> Francisco Escobedo Novelo</w:t>
      </w:r>
    </w:p>
    <w:p w:rsidR="006E7C7C" w:rsidRPr="002F68B7" w:rsidRDefault="006E7C7C" w:rsidP="006E7C7C">
      <w:pPr>
        <w:tabs>
          <w:tab w:val="left" w:pos="3682"/>
        </w:tabs>
        <w:jc w:val="center"/>
        <w:rPr>
          <w:rFonts w:ascii="Calibri" w:hAnsi="Calibri" w:cs="Arial"/>
          <w:sz w:val="20"/>
          <w:szCs w:val="20"/>
        </w:rPr>
      </w:pPr>
      <w:r w:rsidRPr="002F68B7">
        <w:rPr>
          <w:rFonts w:ascii="Calibri" w:hAnsi="Calibri"/>
          <w:sz w:val="20"/>
          <w:szCs w:val="20"/>
        </w:rPr>
        <w:t xml:space="preserve">Director de Administración y Finanzas                  </w:t>
      </w:r>
      <w:r>
        <w:rPr>
          <w:rFonts w:ascii="Calibri" w:hAnsi="Calibri"/>
          <w:sz w:val="20"/>
          <w:szCs w:val="20"/>
        </w:rPr>
        <w:t xml:space="preserve">               </w:t>
      </w:r>
      <w:r w:rsidRPr="002F68B7">
        <w:rPr>
          <w:rFonts w:ascii="Calibri" w:hAnsi="Calibri"/>
          <w:sz w:val="20"/>
          <w:szCs w:val="20"/>
        </w:rPr>
        <w:t xml:space="preserve">                                                          Director General</w:t>
      </w:r>
    </w:p>
    <w:p w:rsidR="006E7C7C" w:rsidRPr="002F68B7" w:rsidRDefault="006E7C7C" w:rsidP="006E7C7C">
      <w:pPr>
        <w:jc w:val="center"/>
        <w:rPr>
          <w:rFonts w:ascii="Calibri" w:hAnsi="Calibri"/>
          <w:sz w:val="20"/>
          <w:szCs w:val="20"/>
        </w:rPr>
      </w:pPr>
    </w:p>
    <w:p w:rsidR="006E7C7C" w:rsidRPr="002F68B7" w:rsidRDefault="006E7C7C" w:rsidP="006E7C7C">
      <w:pPr>
        <w:jc w:val="center"/>
        <w:rPr>
          <w:rFonts w:ascii="Calibri" w:hAnsi="Calibri"/>
          <w:sz w:val="20"/>
          <w:szCs w:val="20"/>
        </w:rPr>
      </w:pPr>
    </w:p>
    <w:p w:rsidR="006E7C7C" w:rsidRPr="002F68B7" w:rsidRDefault="006E7C7C" w:rsidP="006E7C7C">
      <w:pPr>
        <w:jc w:val="center"/>
        <w:rPr>
          <w:rFonts w:ascii="Calibri" w:hAnsi="Calibri"/>
          <w:sz w:val="20"/>
          <w:szCs w:val="20"/>
        </w:rPr>
      </w:pPr>
    </w:p>
    <w:p w:rsidR="006E7C7C" w:rsidRPr="002F68B7" w:rsidRDefault="006E7C7C" w:rsidP="006E7C7C">
      <w:pPr>
        <w:jc w:val="center"/>
        <w:rPr>
          <w:rFonts w:ascii="Calibri" w:hAnsi="Calibri"/>
          <w:sz w:val="20"/>
          <w:szCs w:val="20"/>
        </w:rPr>
      </w:pPr>
      <w:r w:rsidRPr="002F68B7">
        <w:rPr>
          <w:rFonts w:ascii="Calibri" w:hAnsi="Calibri"/>
          <w:sz w:val="20"/>
          <w:szCs w:val="20"/>
        </w:rPr>
        <w:t>Elaboró</w:t>
      </w:r>
    </w:p>
    <w:p w:rsidR="006E7C7C" w:rsidRPr="002F68B7" w:rsidRDefault="006E7C7C" w:rsidP="006E7C7C">
      <w:pPr>
        <w:jc w:val="center"/>
        <w:rPr>
          <w:rFonts w:ascii="Calibri" w:hAnsi="Calibri" w:cs="Arial"/>
          <w:sz w:val="20"/>
          <w:szCs w:val="20"/>
        </w:rPr>
      </w:pPr>
    </w:p>
    <w:p w:rsidR="006E7C7C" w:rsidRPr="002F68B7" w:rsidRDefault="006E7C7C" w:rsidP="006E7C7C">
      <w:pPr>
        <w:jc w:val="center"/>
        <w:rPr>
          <w:rFonts w:ascii="Calibri" w:hAnsi="Calibri" w:cs="Arial"/>
          <w:sz w:val="20"/>
          <w:szCs w:val="20"/>
        </w:rPr>
      </w:pPr>
    </w:p>
    <w:p w:rsidR="006E7C7C" w:rsidRPr="002F68B7" w:rsidRDefault="006E7C7C" w:rsidP="006E7C7C">
      <w:pPr>
        <w:jc w:val="center"/>
        <w:rPr>
          <w:rFonts w:ascii="Calibri" w:hAnsi="Calibri" w:cs="Arial"/>
          <w:sz w:val="20"/>
          <w:szCs w:val="20"/>
        </w:rPr>
      </w:pPr>
    </w:p>
    <w:p w:rsidR="006E7C7C" w:rsidRPr="002F68B7" w:rsidRDefault="006E7C7C" w:rsidP="006E7C7C">
      <w:pPr>
        <w:jc w:val="center"/>
        <w:rPr>
          <w:rFonts w:ascii="Calibri" w:hAnsi="Calibri" w:cs="Arial"/>
          <w:sz w:val="20"/>
          <w:szCs w:val="20"/>
        </w:rPr>
      </w:pPr>
    </w:p>
    <w:p w:rsidR="006E7C7C" w:rsidRPr="002F68B7" w:rsidRDefault="006E7C7C" w:rsidP="006E7C7C">
      <w:pPr>
        <w:jc w:val="center"/>
        <w:rPr>
          <w:rFonts w:ascii="Calibri" w:hAnsi="Calibri" w:cs="Arial"/>
          <w:sz w:val="20"/>
          <w:szCs w:val="20"/>
        </w:rPr>
      </w:pPr>
    </w:p>
    <w:p w:rsidR="006E7C7C" w:rsidRPr="002F68B7" w:rsidRDefault="006E7C7C" w:rsidP="006E7C7C">
      <w:pPr>
        <w:jc w:val="center"/>
        <w:rPr>
          <w:rFonts w:ascii="Calibri" w:hAnsi="Calibri" w:cs="Arial"/>
          <w:sz w:val="20"/>
          <w:szCs w:val="20"/>
        </w:rPr>
      </w:pPr>
      <w:r w:rsidRPr="002F68B7">
        <w:rPr>
          <w:noProof/>
          <w:lang w:eastAsia="es-MX"/>
        </w:rPr>
        <mc:AlternateContent>
          <mc:Choice Requires="wps">
            <w:drawing>
              <wp:anchor distT="4294967294" distB="4294967294" distL="114300" distR="114300" simplePos="0" relativeHeight="251661312" behindDoc="0" locked="0" layoutInCell="1" allowOverlap="1" wp14:anchorId="732053C0" wp14:editId="3A39E6F5">
                <wp:simplePos x="0" y="0"/>
                <wp:positionH relativeFrom="column">
                  <wp:posOffset>3351007</wp:posOffset>
                </wp:positionH>
                <wp:positionV relativeFrom="paragraph">
                  <wp:posOffset>121060</wp:posOffset>
                </wp:positionV>
                <wp:extent cx="2070847" cy="0"/>
                <wp:effectExtent l="0" t="0" r="24765" b="1905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08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6479A" id="Line 4"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3.85pt,9.55pt" to="426.9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Gi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"/>
            </w:pict>
          </mc:Fallback>
        </mc:AlternateContent>
      </w:r>
    </w:p>
    <w:p w:rsidR="006E7C7C" w:rsidRPr="002F68B7" w:rsidRDefault="006E7C7C" w:rsidP="006E7C7C">
      <w:pPr>
        <w:jc w:val="center"/>
        <w:rPr>
          <w:rFonts w:ascii="Calibri" w:hAnsi="Calibri"/>
          <w:sz w:val="20"/>
          <w:szCs w:val="20"/>
        </w:rPr>
      </w:pPr>
      <w:r w:rsidRPr="002F68B7">
        <w:rPr>
          <w:rFonts w:ascii="Calibri" w:hAnsi="Calibri"/>
          <w:sz w:val="20"/>
          <w:szCs w:val="20"/>
        </w:rPr>
        <w:t>C.P. José Hidalgo Zetina Espinosa</w:t>
      </w:r>
    </w:p>
    <w:p w:rsidR="006E7C7C" w:rsidRPr="00853E3D" w:rsidRDefault="006E7C7C" w:rsidP="006E7C7C">
      <w:pPr>
        <w:jc w:val="center"/>
        <w:rPr>
          <w:rFonts w:ascii="Calibri" w:hAnsi="Calibri" w:cs="Arial"/>
          <w:sz w:val="20"/>
          <w:szCs w:val="20"/>
        </w:rPr>
      </w:pPr>
      <w:r w:rsidRPr="002F68B7">
        <w:rPr>
          <w:rFonts w:ascii="Calibri" w:hAnsi="Calibri"/>
          <w:sz w:val="20"/>
          <w:szCs w:val="20"/>
        </w:rPr>
        <w:t>Jefe de Contabilidad</w:t>
      </w:r>
    </w:p>
    <w:p w:rsidR="006E7C7C" w:rsidRPr="007F6C9A" w:rsidRDefault="006E7C7C" w:rsidP="007F6C9A">
      <w:pPr>
        <w:tabs>
          <w:tab w:val="left" w:pos="2475"/>
        </w:tabs>
        <w:jc w:val="center"/>
        <w:rPr>
          <w:rFonts w:ascii="Calibri" w:hAnsi="Calibri"/>
          <w:sz w:val="20"/>
          <w:szCs w:val="20"/>
        </w:rPr>
      </w:pPr>
    </w:p>
    <w:sectPr w:rsidR="006E7C7C" w:rsidRPr="007F6C9A" w:rsidSect="00C243D7">
      <w:headerReference w:type="default" r:id="rId42"/>
      <w:footerReference w:type="even" r:id="rId43"/>
      <w:footerReference w:type="default" r:id="rId44"/>
      <w:pgSz w:w="15840" w:h="12240" w:orient="landscape"/>
      <w:pgMar w:top="851" w:right="1701" w:bottom="851" w:left="567" w:header="57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8C9" w:rsidRDefault="004238C9">
      <w:r>
        <w:separator/>
      </w:r>
    </w:p>
  </w:endnote>
  <w:endnote w:type="continuationSeparator" w:id="0">
    <w:p w:rsidR="004238C9" w:rsidRDefault="00423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Humnst BT">
    <w:altName w:val="Segoe UI"/>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8C9" w:rsidRDefault="004238C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238C9" w:rsidRDefault="004238C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8C9" w:rsidRDefault="004238C9">
    <w:pPr>
      <w:pStyle w:val="Piedepgina"/>
      <w:ind w:right="360"/>
      <w:rPr>
        <w:color w:val="C0C0C0"/>
        <w:sz w:val="16"/>
      </w:rPr>
    </w:pPr>
  </w:p>
  <w:p w:rsidR="004238C9" w:rsidRDefault="004238C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8C9" w:rsidRDefault="004238C9">
      <w:r>
        <w:separator/>
      </w:r>
    </w:p>
  </w:footnote>
  <w:footnote w:type="continuationSeparator" w:id="0">
    <w:p w:rsidR="004238C9" w:rsidRDefault="004238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E01" w:rsidRDefault="00A5110F" w:rsidP="005F5E01">
    <w:pPr>
      <w:pStyle w:val="Encabezado"/>
      <w:jc w:val="center"/>
      <w:rPr>
        <w:rFonts w:ascii="Calibri" w:hAnsi="Calibri"/>
        <w:b/>
        <w:sz w:val="22"/>
        <w:szCs w:val="22"/>
        <w:lang w:val="es-ES"/>
      </w:rPr>
    </w:pPr>
    <w:r>
      <w:rPr>
        <w:noProof/>
        <w:lang w:eastAsia="es-MX"/>
      </w:rPr>
      <w:drawing>
        <wp:anchor distT="0" distB="0" distL="114300" distR="114300" simplePos="0" relativeHeight="251659264" behindDoc="1" locked="0" layoutInCell="1" allowOverlap="1" wp14:anchorId="26BA0741" wp14:editId="49B51F3B">
          <wp:simplePos x="0" y="0"/>
          <wp:positionH relativeFrom="column">
            <wp:posOffset>459105</wp:posOffset>
          </wp:positionH>
          <wp:positionV relativeFrom="paragraph">
            <wp:posOffset>153035</wp:posOffset>
          </wp:positionV>
          <wp:extent cx="1276350" cy="415925"/>
          <wp:effectExtent l="0" t="0" r="0" b="3175"/>
          <wp:wrapThrough wrapText="bothSides">
            <wp:wrapPolygon edited="0">
              <wp:start x="0" y="0"/>
              <wp:lineTo x="0" y="20776"/>
              <wp:lineTo x="21278" y="20776"/>
              <wp:lineTo x="21278" y="0"/>
              <wp:lineTo x="0" y="0"/>
            </wp:wrapPolygon>
          </wp:wrapThrough>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415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5E01" w:rsidRPr="007D4589" w:rsidRDefault="005F5E01" w:rsidP="005F5E01">
    <w:pPr>
      <w:pStyle w:val="Encabezado"/>
      <w:jc w:val="center"/>
      <w:rPr>
        <w:rFonts w:ascii="Calibri" w:hAnsi="Calibri"/>
        <w:b/>
        <w:sz w:val="22"/>
        <w:szCs w:val="22"/>
        <w:lang w:val="es-ES"/>
      </w:rPr>
    </w:pPr>
    <w:r w:rsidRPr="007D4589">
      <w:rPr>
        <w:rFonts w:ascii="Calibri" w:hAnsi="Calibri"/>
        <w:b/>
        <w:sz w:val="22"/>
        <w:szCs w:val="22"/>
        <w:lang w:val="es-ES"/>
      </w:rPr>
      <w:t>FIDEICOMISO GARANTE DE LA ORQUESTA SINFÓNICA DE YUCATÁN</w:t>
    </w:r>
  </w:p>
  <w:p w:rsidR="005F5E01" w:rsidRPr="004B7A4D" w:rsidRDefault="005F5E01" w:rsidP="005F5E01">
    <w:pPr>
      <w:pStyle w:val="Encabezado"/>
      <w:tabs>
        <w:tab w:val="left" w:pos="480"/>
        <w:tab w:val="center" w:pos="4986"/>
      </w:tabs>
      <w:jc w:val="center"/>
      <w:rPr>
        <w:rFonts w:ascii="Calibri" w:hAnsi="Calibri"/>
        <w:b/>
        <w:sz w:val="22"/>
        <w:szCs w:val="22"/>
        <w:lang w:val="es-ES"/>
      </w:rPr>
    </w:pPr>
    <w:r w:rsidRPr="007D4589">
      <w:rPr>
        <w:rFonts w:ascii="Calibri" w:hAnsi="Calibri"/>
        <w:b/>
        <w:sz w:val="22"/>
        <w:szCs w:val="22"/>
        <w:lang w:val="es-ES"/>
      </w:rPr>
      <w:t>NOTAS A</w:t>
    </w:r>
    <w:r>
      <w:rPr>
        <w:rFonts w:ascii="Calibri" w:hAnsi="Calibri"/>
        <w:b/>
        <w:sz w:val="22"/>
        <w:szCs w:val="22"/>
        <w:lang w:val="es-ES"/>
      </w:rPr>
      <w:t xml:space="preserve"> </w:t>
    </w:r>
    <w:r w:rsidRPr="007D4589">
      <w:rPr>
        <w:rFonts w:ascii="Calibri" w:hAnsi="Calibri"/>
        <w:b/>
        <w:sz w:val="22"/>
        <w:szCs w:val="22"/>
        <w:lang w:val="es-ES"/>
      </w:rPr>
      <w:t>L</w:t>
    </w:r>
    <w:r>
      <w:rPr>
        <w:rFonts w:ascii="Calibri" w:hAnsi="Calibri"/>
        <w:b/>
        <w:sz w:val="22"/>
        <w:szCs w:val="22"/>
        <w:lang w:val="es-ES"/>
      </w:rPr>
      <w:t>OS</w:t>
    </w:r>
    <w:r w:rsidRPr="007D4589">
      <w:rPr>
        <w:rFonts w:ascii="Calibri" w:hAnsi="Calibri"/>
        <w:b/>
        <w:sz w:val="22"/>
        <w:szCs w:val="22"/>
        <w:lang w:val="es-ES"/>
      </w:rPr>
      <w:t xml:space="preserve"> </w:t>
    </w:r>
    <w:r>
      <w:rPr>
        <w:rFonts w:ascii="Calibri" w:hAnsi="Calibri"/>
        <w:b/>
        <w:sz w:val="22"/>
        <w:szCs w:val="22"/>
        <w:lang w:val="es-ES"/>
      </w:rPr>
      <w:t>ESTADOS FINANCIEROS AL 31 DE MAYO DE 2022</w:t>
    </w:r>
  </w:p>
  <w:p w:rsidR="005F5E01" w:rsidRPr="00CD7D7E" w:rsidRDefault="005F5E01" w:rsidP="005F5E01">
    <w:pPr>
      <w:pStyle w:val="Encabezado"/>
      <w:rPr>
        <w:lang w:val="es-ES"/>
      </w:rPr>
    </w:pPr>
  </w:p>
  <w:p w:rsidR="004238C9" w:rsidRDefault="004238C9" w:rsidP="00E516EB">
    <w:pPr>
      <w:pStyle w:val="Encabezado"/>
      <w:jc w:val="center"/>
      <w:rPr>
        <w:rFonts w:ascii="Calibri" w:hAnsi="Calibri"/>
        <w:b/>
        <w:sz w:val="22"/>
        <w:szCs w:val="22"/>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643F5"/>
    <w:multiLevelType w:val="hybridMultilevel"/>
    <w:tmpl w:val="652A7D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4C10A0"/>
    <w:multiLevelType w:val="multilevel"/>
    <w:tmpl w:val="45DA460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2"/>
      <w:numFmt w:val="decimal"/>
      <w:lvlText w:val="%1.%2.%3.%4.%5"/>
      <w:lvlJc w:val="left"/>
      <w:pPr>
        <w:ind w:left="720" w:hanging="72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64B1B76"/>
    <w:multiLevelType w:val="multilevel"/>
    <w:tmpl w:val="6D2830EC"/>
    <w:lvl w:ilvl="0">
      <w:start w:val="1"/>
      <w:numFmt w:val="decimal"/>
      <w:lvlText w:val="%1"/>
      <w:lvlJc w:val="left"/>
      <w:pPr>
        <w:ind w:left="576" w:hanging="576"/>
      </w:pPr>
      <w:rPr>
        <w:rFonts w:hint="default"/>
      </w:rPr>
    </w:lvl>
    <w:lvl w:ilvl="1">
      <w:start w:val="1"/>
      <w:numFmt w:val="decimal"/>
      <w:lvlText w:val="%1.%2"/>
      <w:lvlJc w:val="left"/>
      <w:pPr>
        <w:ind w:left="696" w:hanging="576"/>
      </w:pPr>
      <w:rPr>
        <w:rFonts w:hint="default"/>
      </w:rPr>
    </w:lvl>
    <w:lvl w:ilvl="2">
      <w:start w:val="2"/>
      <w:numFmt w:val="decimal"/>
      <w:lvlText w:val="%1.%2.%3"/>
      <w:lvlJc w:val="left"/>
      <w:pPr>
        <w:ind w:left="960" w:hanging="720"/>
      </w:pPr>
      <w:rPr>
        <w:rFonts w:hint="default"/>
      </w:rPr>
    </w:lvl>
    <w:lvl w:ilvl="3">
      <w:start w:val="1"/>
      <w:numFmt w:val="decimal"/>
      <w:lvlText w:val="%1.%2.%3.%4"/>
      <w:lvlJc w:val="left"/>
      <w:pPr>
        <w:ind w:left="1080" w:hanging="720"/>
      </w:pPr>
      <w:rPr>
        <w:rFonts w:hint="default"/>
        <w:b/>
      </w:rPr>
    </w:lvl>
    <w:lvl w:ilvl="4">
      <w:start w:val="1"/>
      <w:numFmt w:val="decimal"/>
      <w:lvlText w:val="%1.%2.%3.%4.%5"/>
      <w:lvlJc w:val="left"/>
      <w:pPr>
        <w:ind w:left="1200" w:hanging="72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3">
    <w:nsid w:val="096B0AB4"/>
    <w:multiLevelType w:val="hybridMultilevel"/>
    <w:tmpl w:val="B4383FB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9B04E32"/>
    <w:multiLevelType w:val="hybridMultilevel"/>
    <w:tmpl w:val="074657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03908B1"/>
    <w:multiLevelType w:val="multilevel"/>
    <w:tmpl w:val="AD787522"/>
    <w:lvl w:ilvl="0">
      <w:start w:val="4"/>
      <w:numFmt w:val="decimal"/>
      <w:lvlText w:val="%1"/>
      <w:lvlJc w:val="left"/>
      <w:pPr>
        <w:ind w:left="360" w:hanging="36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val="0"/>
        <w:sz w:val="20"/>
      </w:rPr>
    </w:lvl>
    <w:lvl w:ilvl="3">
      <w:start w:val="1"/>
      <w:numFmt w:val="decimal"/>
      <w:lvlText w:val="%1.%2.%3.%4"/>
      <w:lvlJc w:val="left"/>
      <w:pPr>
        <w:ind w:left="1080" w:hanging="1080"/>
      </w:pPr>
      <w:rPr>
        <w:rFonts w:hint="default"/>
        <w:b w:val="0"/>
        <w:sz w:val="20"/>
      </w:rPr>
    </w:lvl>
    <w:lvl w:ilvl="4">
      <w:start w:val="1"/>
      <w:numFmt w:val="decimal"/>
      <w:lvlText w:val="%1.%2.%3.%4.%5"/>
      <w:lvlJc w:val="left"/>
      <w:pPr>
        <w:ind w:left="1440" w:hanging="1440"/>
      </w:pPr>
      <w:rPr>
        <w:rFonts w:hint="default"/>
        <w:b w:val="0"/>
        <w:sz w:val="20"/>
      </w:rPr>
    </w:lvl>
    <w:lvl w:ilvl="5">
      <w:start w:val="1"/>
      <w:numFmt w:val="decimal"/>
      <w:lvlText w:val="%1.%2.%3.%4.%5.%6"/>
      <w:lvlJc w:val="left"/>
      <w:pPr>
        <w:ind w:left="1440" w:hanging="1440"/>
      </w:pPr>
      <w:rPr>
        <w:rFonts w:hint="default"/>
        <w:b w:val="0"/>
        <w:sz w:val="20"/>
      </w:rPr>
    </w:lvl>
    <w:lvl w:ilvl="6">
      <w:start w:val="1"/>
      <w:numFmt w:val="decimal"/>
      <w:lvlText w:val="%1.%2.%3.%4.%5.%6.%7"/>
      <w:lvlJc w:val="left"/>
      <w:pPr>
        <w:ind w:left="1800" w:hanging="1800"/>
      </w:pPr>
      <w:rPr>
        <w:rFonts w:hint="default"/>
        <w:b w:val="0"/>
        <w:sz w:val="20"/>
      </w:rPr>
    </w:lvl>
    <w:lvl w:ilvl="7">
      <w:start w:val="1"/>
      <w:numFmt w:val="decimal"/>
      <w:lvlText w:val="%1.%2.%3.%4.%5.%6.%7.%8"/>
      <w:lvlJc w:val="left"/>
      <w:pPr>
        <w:ind w:left="1800" w:hanging="1800"/>
      </w:pPr>
      <w:rPr>
        <w:rFonts w:hint="default"/>
        <w:b w:val="0"/>
        <w:sz w:val="20"/>
      </w:rPr>
    </w:lvl>
    <w:lvl w:ilvl="8">
      <w:start w:val="1"/>
      <w:numFmt w:val="decimal"/>
      <w:lvlText w:val="%1.%2.%3.%4.%5.%6.%7.%8.%9"/>
      <w:lvlJc w:val="left"/>
      <w:pPr>
        <w:ind w:left="2160" w:hanging="2160"/>
      </w:pPr>
      <w:rPr>
        <w:rFonts w:hint="default"/>
        <w:b w:val="0"/>
        <w:sz w:val="20"/>
      </w:rPr>
    </w:lvl>
  </w:abstractNum>
  <w:abstractNum w:abstractNumId="6">
    <w:nsid w:val="17CF1CCE"/>
    <w:multiLevelType w:val="multilevel"/>
    <w:tmpl w:val="4D7C13B0"/>
    <w:lvl w:ilvl="0">
      <w:start w:val="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A8D42C5"/>
    <w:multiLevelType w:val="multilevel"/>
    <w:tmpl w:val="D8AA6C4A"/>
    <w:lvl w:ilvl="0">
      <w:start w:val="2"/>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BFC510E"/>
    <w:multiLevelType w:val="multilevel"/>
    <w:tmpl w:val="22E28E5A"/>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CB87978"/>
    <w:multiLevelType w:val="hybridMultilevel"/>
    <w:tmpl w:val="739C9C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0367D80"/>
    <w:multiLevelType w:val="multilevel"/>
    <w:tmpl w:val="19BED06E"/>
    <w:lvl w:ilvl="0">
      <w:start w:val="1"/>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0B62A9A"/>
    <w:multiLevelType w:val="multilevel"/>
    <w:tmpl w:val="4DD2C692"/>
    <w:lvl w:ilvl="0">
      <w:start w:val="1"/>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5"/>
      <w:numFmt w:val="decimal"/>
      <w:lvlText w:val="%1.%2.%3"/>
      <w:lvlJc w:val="left"/>
      <w:pPr>
        <w:ind w:left="765" w:hanging="765"/>
      </w:pPr>
      <w:rPr>
        <w:rFonts w:hint="default"/>
      </w:rPr>
    </w:lvl>
    <w:lvl w:ilvl="3">
      <w:start w:val="1"/>
      <w:numFmt w:val="decimal"/>
      <w:lvlText w:val="%1.%2.%3.%4"/>
      <w:lvlJc w:val="left"/>
      <w:pPr>
        <w:ind w:left="1080" w:hanging="1080"/>
      </w:pPr>
      <w:rPr>
        <w:rFonts w:hint="default"/>
        <w:b/>
      </w:rPr>
    </w:lvl>
    <w:lvl w:ilvl="4">
      <w:start w:val="2"/>
      <w:numFmt w:val="decimal"/>
      <w:lvlText w:val="%1.%2.%3.%4.%5"/>
      <w:lvlJc w:val="left"/>
      <w:pPr>
        <w:ind w:left="1080"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1265AF6"/>
    <w:multiLevelType w:val="hybridMultilevel"/>
    <w:tmpl w:val="B3E841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96A7761"/>
    <w:multiLevelType w:val="hybridMultilevel"/>
    <w:tmpl w:val="2F26100A"/>
    <w:lvl w:ilvl="0" w:tplc="0C0A0001">
      <w:start w:val="1"/>
      <w:numFmt w:val="bullet"/>
      <w:lvlText w:val=""/>
      <w:lvlJc w:val="left"/>
      <w:pPr>
        <w:ind w:left="2295"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B7B4CCC"/>
    <w:multiLevelType w:val="multilevel"/>
    <w:tmpl w:val="CE807D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2E5A7D63"/>
    <w:multiLevelType w:val="hybridMultilevel"/>
    <w:tmpl w:val="1988E2BA"/>
    <w:lvl w:ilvl="0" w:tplc="41EC518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12461C7"/>
    <w:multiLevelType w:val="multilevel"/>
    <w:tmpl w:val="B94C46A4"/>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9BA6202"/>
    <w:multiLevelType w:val="multilevel"/>
    <w:tmpl w:val="89B67C38"/>
    <w:lvl w:ilvl="0">
      <w:start w:val="1"/>
      <w:numFmt w:val="decimal"/>
      <w:lvlText w:val="%1."/>
      <w:lvlJc w:val="left"/>
      <w:pPr>
        <w:ind w:left="360" w:hanging="360"/>
      </w:pPr>
      <w:rPr>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nsid w:val="3C3156D0"/>
    <w:multiLevelType w:val="hybridMultilevel"/>
    <w:tmpl w:val="580081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ED11419"/>
    <w:multiLevelType w:val="multilevel"/>
    <w:tmpl w:val="B69E4908"/>
    <w:lvl w:ilvl="0">
      <w:start w:val="2"/>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F6E3135"/>
    <w:multiLevelType w:val="multilevel"/>
    <w:tmpl w:val="F13AD2C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1397AFC"/>
    <w:multiLevelType w:val="multilevel"/>
    <w:tmpl w:val="4904A33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lvlText w:val="%4.1.2.1.1.1"/>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41C970ED"/>
    <w:multiLevelType w:val="hybridMultilevel"/>
    <w:tmpl w:val="EF8ED0F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2086E17"/>
    <w:multiLevelType w:val="multilevel"/>
    <w:tmpl w:val="66287AA2"/>
    <w:lvl w:ilvl="0">
      <w:start w:val="3"/>
      <w:numFmt w:val="decimal"/>
      <w:lvlText w:val="%1"/>
      <w:lvlJc w:val="left"/>
      <w:pPr>
        <w:ind w:left="420" w:hanging="420"/>
      </w:pPr>
      <w:rPr>
        <w:rFonts w:hint="default"/>
        <w:b w:val="0"/>
      </w:rPr>
    </w:lvl>
    <w:lvl w:ilvl="1">
      <w:start w:val="2"/>
      <w:numFmt w:val="decimal"/>
      <w:lvlText w:val="%1.%2"/>
      <w:lvlJc w:val="left"/>
      <w:pPr>
        <w:ind w:left="420" w:hanging="420"/>
      </w:pPr>
      <w:rPr>
        <w:rFonts w:hint="default"/>
        <w:b w:val="0"/>
      </w:rPr>
    </w:lvl>
    <w:lvl w:ilvl="2">
      <w:start w:val="3"/>
      <w:numFmt w:val="decimal"/>
      <w:lvlText w:val="%3.1.1"/>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4">
    <w:nsid w:val="48BD4C98"/>
    <w:multiLevelType w:val="multilevel"/>
    <w:tmpl w:val="3774D52A"/>
    <w:lvl w:ilvl="0">
      <w:start w:val="3"/>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A3644F1"/>
    <w:multiLevelType w:val="multilevel"/>
    <w:tmpl w:val="0EC276C2"/>
    <w:lvl w:ilvl="0">
      <w:start w:val="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B2C0AF5"/>
    <w:multiLevelType w:val="hybridMultilevel"/>
    <w:tmpl w:val="EB5CB544"/>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EB12DC8"/>
    <w:multiLevelType w:val="hybridMultilevel"/>
    <w:tmpl w:val="A0C8A2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3565CC8"/>
    <w:multiLevelType w:val="multilevel"/>
    <w:tmpl w:val="5770B5C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5"/>
      <w:numFmt w:val="decimal"/>
      <w:lvlText w:val="%1.%2.%3"/>
      <w:lvlJc w:val="left"/>
      <w:pPr>
        <w:ind w:left="720" w:hanging="720"/>
      </w:pPr>
      <w:rPr>
        <w:rFonts w:hint="default"/>
      </w:rPr>
    </w:lvl>
    <w:lvl w:ilvl="3">
      <w:start w:val="2"/>
      <w:numFmt w:val="decimal"/>
      <w:lvlText w:val="%1.%2.%3.%4"/>
      <w:lvlJc w:val="left"/>
      <w:pPr>
        <w:ind w:left="720" w:hanging="720"/>
      </w:pPr>
      <w:rPr>
        <w:rFonts w:hint="default"/>
        <w:b/>
      </w:rPr>
    </w:lvl>
    <w:lvl w:ilvl="4">
      <w:start w:val="2"/>
      <w:numFmt w:val="decimal"/>
      <w:lvlText w:val="%1.%2.%3.%4.%5"/>
      <w:lvlJc w:val="left"/>
      <w:pPr>
        <w:ind w:left="862" w:hanging="72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56D57EDD"/>
    <w:multiLevelType w:val="multilevel"/>
    <w:tmpl w:val="584E1F58"/>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2"/>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2"/>
      <w:numFmt w:val="decimal"/>
      <w:lvlText w:val="%1.%2.%3.%4.%5"/>
      <w:lvlJc w:val="left"/>
      <w:pPr>
        <w:ind w:left="855" w:hanging="855"/>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C0C7493"/>
    <w:multiLevelType w:val="hybridMultilevel"/>
    <w:tmpl w:val="1312F7F8"/>
    <w:lvl w:ilvl="0" w:tplc="79867B7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E983018"/>
    <w:multiLevelType w:val="multilevel"/>
    <w:tmpl w:val="C3CAB47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EC7313A"/>
    <w:multiLevelType w:val="hybridMultilevel"/>
    <w:tmpl w:val="F8DCA4A4"/>
    <w:lvl w:ilvl="0" w:tplc="406E0F5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FA50418"/>
    <w:multiLevelType w:val="multilevel"/>
    <w:tmpl w:val="4404D850"/>
    <w:lvl w:ilvl="0">
      <w:start w:val="1"/>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1"/>
      <w:numFmt w:val="decimal"/>
      <w:lvlText w:val="%1.%2.%3.%4"/>
      <w:lvlJc w:val="left"/>
      <w:pPr>
        <w:ind w:left="1080" w:hanging="1080"/>
      </w:pPr>
      <w:rPr>
        <w:rFonts w:hint="default"/>
        <w:b/>
      </w:rPr>
    </w:lvl>
    <w:lvl w:ilvl="4">
      <w:start w:val="2"/>
      <w:numFmt w:val="decimal"/>
      <w:lvlText w:val="%1.%2.%3.%4.%5"/>
      <w:lvlJc w:val="left"/>
      <w:pPr>
        <w:ind w:left="1080"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0544933"/>
    <w:multiLevelType w:val="multilevel"/>
    <w:tmpl w:val="66DC5CAE"/>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2"/>
      <w:numFmt w:val="decimal"/>
      <w:lvlText w:val="%1.%2.%3"/>
      <w:lvlJc w:val="left"/>
      <w:pPr>
        <w:ind w:left="855" w:hanging="855"/>
      </w:pPr>
      <w:rPr>
        <w:rFonts w:hint="default"/>
      </w:rPr>
    </w:lvl>
    <w:lvl w:ilvl="3">
      <w:start w:val="1"/>
      <w:numFmt w:val="decimal"/>
      <w:lvlText w:val="%1.%2.%3.%4"/>
      <w:lvlJc w:val="left"/>
      <w:pPr>
        <w:ind w:left="855" w:hanging="855"/>
      </w:pPr>
      <w:rPr>
        <w:rFonts w:hint="default"/>
        <w:b/>
      </w:rPr>
    </w:lvl>
    <w:lvl w:ilvl="4">
      <w:start w:val="2"/>
      <w:numFmt w:val="decimal"/>
      <w:lvlText w:val="%1.%2.%3.%4.%5"/>
      <w:lvlJc w:val="left"/>
      <w:pPr>
        <w:ind w:left="855" w:hanging="855"/>
      </w:pPr>
      <w:rPr>
        <w:rFonts w:hint="default"/>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60957382"/>
    <w:multiLevelType w:val="multilevel"/>
    <w:tmpl w:val="F026A592"/>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0BC49CA"/>
    <w:multiLevelType w:val="multilevel"/>
    <w:tmpl w:val="5FD24EA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15A04A5"/>
    <w:multiLevelType w:val="hybridMultilevel"/>
    <w:tmpl w:val="FC6453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1B5165C"/>
    <w:multiLevelType w:val="multilevel"/>
    <w:tmpl w:val="029C72F2"/>
    <w:lvl w:ilvl="0">
      <w:start w:val="1"/>
      <w:numFmt w:val="decimal"/>
      <w:lvlText w:val="%1"/>
      <w:lvlJc w:val="left"/>
      <w:pPr>
        <w:ind w:left="888" w:hanging="888"/>
      </w:pPr>
      <w:rPr>
        <w:rFonts w:hint="default"/>
      </w:rPr>
    </w:lvl>
    <w:lvl w:ilvl="1">
      <w:start w:val="1"/>
      <w:numFmt w:val="decimal"/>
      <w:lvlText w:val="%1.%2"/>
      <w:lvlJc w:val="left"/>
      <w:pPr>
        <w:ind w:left="960" w:hanging="888"/>
      </w:pPr>
      <w:rPr>
        <w:rFonts w:hint="default"/>
      </w:rPr>
    </w:lvl>
    <w:lvl w:ilvl="2">
      <w:start w:val="2"/>
      <w:numFmt w:val="decimal"/>
      <w:lvlText w:val="%1.%2.%3"/>
      <w:lvlJc w:val="left"/>
      <w:pPr>
        <w:ind w:left="1032" w:hanging="888"/>
      </w:pPr>
      <w:rPr>
        <w:rFonts w:hint="default"/>
      </w:rPr>
    </w:lvl>
    <w:lvl w:ilvl="3">
      <w:start w:val="1"/>
      <w:numFmt w:val="decimal"/>
      <w:lvlText w:val="%1.%2.%3.%4"/>
      <w:lvlJc w:val="left"/>
      <w:pPr>
        <w:ind w:left="1104" w:hanging="888"/>
      </w:pPr>
      <w:rPr>
        <w:rFonts w:hint="default"/>
      </w:rPr>
    </w:lvl>
    <w:lvl w:ilvl="4">
      <w:start w:val="2"/>
      <w:numFmt w:val="decimal"/>
      <w:lvlText w:val="%1.%2.%3.%4.%5"/>
      <w:lvlJc w:val="left"/>
      <w:pPr>
        <w:ind w:left="1176" w:hanging="888"/>
      </w:pPr>
      <w:rPr>
        <w:rFonts w:hint="default"/>
      </w:rPr>
    </w:lvl>
    <w:lvl w:ilvl="5">
      <w:start w:val="1"/>
      <w:numFmt w:val="decimal"/>
      <w:lvlText w:val="%1.%2.%3.%4.%5.%6"/>
      <w:lvlJc w:val="left"/>
      <w:pPr>
        <w:ind w:left="1440" w:hanging="1080"/>
      </w:pPr>
      <w:rPr>
        <w:rFonts w:hint="default"/>
        <w:b/>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39">
    <w:nsid w:val="648F039B"/>
    <w:multiLevelType w:val="multilevel"/>
    <w:tmpl w:val="D222ED6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lvlText w:val="%4.1.2.1.1.1"/>
      <w:lvlJc w:val="left"/>
      <w:pPr>
        <w:ind w:left="1440" w:hanging="1080"/>
      </w:pPr>
      <w:rPr>
        <w:rFonts w:hint="default"/>
        <w:b/>
      </w:rPr>
    </w:lvl>
    <w:lvl w:ilvl="4">
      <w:start w:val="2"/>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6ADB1BE5"/>
    <w:multiLevelType w:val="hybridMultilevel"/>
    <w:tmpl w:val="9EF0FBF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6B4763DD"/>
    <w:multiLevelType w:val="multilevel"/>
    <w:tmpl w:val="E8C213C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6E686BFB"/>
    <w:multiLevelType w:val="hybridMultilevel"/>
    <w:tmpl w:val="C6A080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0B17C21"/>
    <w:multiLevelType w:val="hybridMultilevel"/>
    <w:tmpl w:val="9F98FC84"/>
    <w:lvl w:ilvl="0" w:tplc="19B0BB5C">
      <w:start w:val="1"/>
      <w:numFmt w:val="lowerLetter"/>
      <w:lvlText w:val="%1)"/>
      <w:lvlJc w:val="left"/>
      <w:pPr>
        <w:ind w:left="720" w:hanging="360"/>
      </w:pPr>
      <w:rPr>
        <w:rFonts w:ascii="ZapfHumnst BT" w:eastAsia="Times New Roman" w:hAnsi="ZapfHumnst BT"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4204939"/>
    <w:multiLevelType w:val="multilevel"/>
    <w:tmpl w:val="73FE7432"/>
    <w:lvl w:ilvl="0">
      <w:start w:val="2"/>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2"/>
      <w:numFmt w:val="decimal"/>
      <w:lvlText w:val="%1.%2.%3"/>
      <w:lvlJc w:val="left"/>
      <w:pPr>
        <w:ind w:left="720" w:hanging="720"/>
      </w:pPr>
      <w:rPr>
        <w:rFonts w:hint="default"/>
        <w:b/>
      </w:rPr>
    </w:lvl>
    <w:lvl w:ilvl="3">
      <w:start w:val="2"/>
      <w:numFmt w:val="decimal"/>
      <w:lvlText w:val="%1.%2.%3.%4"/>
      <w:lvlJc w:val="left"/>
      <w:pPr>
        <w:ind w:left="720" w:hanging="720"/>
      </w:pPr>
      <w:rPr>
        <w:rFonts w:hint="default"/>
        <w:b/>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74F76B7C"/>
    <w:multiLevelType w:val="multilevel"/>
    <w:tmpl w:val="3774C620"/>
    <w:lvl w:ilvl="0">
      <w:start w:val="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7D0618D2"/>
    <w:multiLevelType w:val="multilevel"/>
    <w:tmpl w:val="546C2502"/>
    <w:lvl w:ilvl="0">
      <w:start w:val="1"/>
      <w:numFmt w:val="decimal"/>
      <w:lvlText w:val="%1"/>
      <w:lvlJc w:val="left"/>
      <w:pPr>
        <w:ind w:left="930" w:hanging="930"/>
      </w:pPr>
      <w:rPr>
        <w:rFonts w:hint="default"/>
      </w:rPr>
    </w:lvl>
    <w:lvl w:ilvl="1">
      <w:start w:val="1"/>
      <w:numFmt w:val="decimal"/>
      <w:lvlText w:val="%1.%2"/>
      <w:lvlJc w:val="left"/>
      <w:pPr>
        <w:ind w:left="930" w:hanging="930"/>
      </w:pPr>
      <w:rPr>
        <w:rFonts w:hint="default"/>
      </w:rPr>
    </w:lvl>
    <w:lvl w:ilvl="2">
      <w:start w:val="2"/>
      <w:numFmt w:val="decimal"/>
      <w:lvlText w:val="%1.%2.%3"/>
      <w:lvlJc w:val="left"/>
      <w:pPr>
        <w:ind w:left="930" w:hanging="93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2"/>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7DA62D4E"/>
    <w:multiLevelType w:val="multilevel"/>
    <w:tmpl w:val="FF5AD7C6"/>
    <w:lvl w:ilvl="0">
      <w:start w:val="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7EB6549C"/>
    <w:multiLevelType w:val="hybridMultilevel"/>
    <w:tmpl w:val="1E2A74C8"/>
    <w:lvl w:ilvl="0" w:tplc="D5328C54">
      <w:start w:val="2"/>
      <w:numFmt w:val="bullet"/>
      <w:lvlText w:val="-"/>
      <w:lvlJc w:val="left"/>
      <w:pPr>
        <w:ind w:left="2655" w:hanging="360"/>
      </w:pPr>
      <w:rPr>
        <w:rFonts w:ascii="ZapfHumnst BT" w:eastAsia="Times New Roman" w:hAnsi="ZapfHumnst BT" w:cs="Times New Roman" w:hint="default"/>
      </w:rPr>
    </w:lvl>
    <w:lvl w:ilvl="1" w:tplc="0C0A0003" w:tentative="1">
      <w:start w:val="1"/>
      <w:numFmt w:val="bullet"/>
      <w:lvlText w:val="o"/>
      <w:lvlJc w:val="left"/>
      <w:pPr>
        <w:ind w:left="3375" w:hanging="360"/>
      </w:pPr>
      <w:rPr>
        <w:rFonts w:ascii="Courier New" w:hAnsi="Courier New" w:cs="Courier New" w:hint="default"/>
      </w:rPr>
    </w:lvl>
    <w:lvl w:ilvl="2" w:tplc="0C0A0005" w:tentative="1">
      <w:start w:val="1"/>
      <w:numFmt w:val="bullet"/>
      <w:lvlText w:val=""/>
      <w:lvlJc w:val="left"/>
      <w:pPr>
        <w:ind w:left="4095" w:hanging="360"/>
      </w:pPr>
      <w:rPr>
        <w:rFonts w:ascii="Wingdings" w:hAnsi="Wingdings" w:hint="default"/>
      </w:rPr>
    </w:lvl>
    <w:lvl w:ilvl="3" w:tplc="0C0A0001" w:tentative="1">
      <w:start w:val="1"/>
      <w:numFmt w:val="bullet"/>
      <w:lvlText w:val=""/>
      <w:lvlJc w:val="left"/>
      <w:pPr>
        <w:ind w:left="4815" w:hanging="360"/>
      </w:pPr>
      <w:rPr>
        <w:rFonts w:ascii="Symbol" w:hAnsi="Symbol" w:hint="default"/>
      </w:rPr>
    </w:lvl>
    <w:lvl w:ilvl="4" w:tplc="0C0A0003" w:tentative="1">
      <w:start w:val="1"/>
      <w:numFmt w:val="bullet"/>
      <w:lvlText w:val="o"/>
      <w:lvlJc w:val="left"/>
      <w:pPr>
        <w:ind w:left="5535" w:hanging="360"/>
      </w:pPr>
      <w:rPr>
        <w:rFonts w:ascii="Courier New" w:hAnsi="Courier New" w:cs="Courier New" w:hint="default"/>
      </w:rPr>
    </w:lvl>
    <w:lvl w:ilvl="5" w:tplc="0C0A0005" w:tentative="1">
      <w:start w:val="1"/>
      <w:numFmt w:val="bullet"/>
      <w:lvlText w:val=""/>
      <w:lvlJc w:val="left"/>
      <w:pPr>
        <w:ind w:left="6255" w:hanging="360"/>
      </w:pPr>
      <w:rPr>
        <w:rFonts w:ascii="Wingdings" w:hAnsi="Wingdings" w:hint="default"/>
      </w:rPr>
    </w:lvl>
    <w:lvl w:ilvl="6" w:tplc="0C0A0001" w:tentative="1">
      <w:start w:val="1"/>
      <w:numFmt w:val="bullet"/>
      <w:lvlText w:val=""/>
      <w:lvlJc w:val="left"/>
      <w:pPr>
        <w:ind w:left="6975" w:hanging="360"/>
      </w:pPr>
      <w:rPr>
        <w:rFonts w:ascii="Symbol" w:hAnsi="Symbol" w:hint="default"/>
      </w:rPr>
    </w:lvl>
    <w:lvl w:ilvl="7" w:tplc="0C0A0003" w:tentative="1">
      <w:start w:val="1"/>
      <w:numFmt w:val="bullet"/>
      <w:lvlText w:val="o"/>
      <w:lvlJc w:val="left"/>
      <w:pPr>
        <w:ind w:left="7695" w:hanging="360"/>
      </w:pPr>
      <w:rPr>
        <w:rFonts w:ascii="Courier New" w:hAnsi="Courier New" w:cs="Courier New" w:hint="default"/>
      </w:rPr>
    </w:lvl>
    <w:lvl w:ilvl="8" w:tplc="0C0A0005" w:tentative="1">
      <w:start w:val="1"/>
      <w:numFmt w:val="bullet"/>
      <w:lvlText w:val=""/>
      <w:lvlJc w:val="left"/>
      <w:pPr>
        <w:ind w:left="8415" w:hanging="360"/>
      </w:pPr>
      <w:rPr>
        <w:rFonts w:ascii="Wingdings" w:hAnsi="Wingdings" w:hint="default"/>
      </w:rPr>
    </w:lvl>
  </w:abstractNum>
  <w:num w:numId="1">
    <w:abstractNumId w:val="43"/>
  </w:num>
  <w:num w:numId="2">
    <w:abstractNumId w:val="40"/>
  </w:num>
  <w:num w:numId="3">
    <w:abstractNumId w:val="13"/>
  </w:num>
  <w:num w:numId="4">
    <w:abstractNumId w:val="3"/>
  </w:num>
  <w:num w:numId="5">
    <w:abstractNumId w:val="22"/>
  </w:num>
  <w:num w:numId="6">
    <w:abstractNumId w:val="9"/>
  </w:num>
  <w:num w:numId="7">
    <w:abstractNumId w:val="17"/>
  </w:num>
  <w:num w:numId="8">
    <w:abstractNumId w:val="0"/>
  </w:num>
  <w:num w:numId="9">
    <w:abstractNumId w:val="12"/>
  </w:num>
  <w:num w:numId="10">
    <w:abstractNumId w:val="26"/>
  </w:num>
  <w:num w:numId="11">
    <w:abstractNumId w:val="48"/>
  </w:num>
  <w:num w:numId="12">
    <w:abstractNumId w:val="20"/>
  </w:num>
  <w:num w:numId="13">
    <w:abstractNumId w:val="15"/>
  </w:num>
  <w:num w:numId="14">
    <w:abstractNumId w:val="42"/>
  </w:num>
  <w:num w:numId="15">
    <w:abstractNumId w:val="4"/>
  </w:num>
  <w:num w:numId="16">
    <w:abstractNumId w:val="21"/>
  </w:num>
  <w:num w:numId="17">
    <w:abstractNumId w:val="31"/>
  </w:num>
  <w:num w:numId="18">
    <w:abstractNumId w:val="18"/>
  </w:num>
  <w:num w:numId="19">
    <w:abstractNumId w:val="14"/>
  </w:num>
  <w:num w:numId="20">
    <w:abstractNumId w:val="37"/>
  </w:num>
  <w:num w:numId="21">
    <w:abstractNumId w:val="46"/>
  </w:num>
  <w:num w:numId="22">
    <w:abstractNumId w:val="11"/>
  </w:num>
  <w:num w:numId="23">
    <w:abstractNumId w:val="25"/>
  </w:num>
  <w:num w:numId="24">
    <w:abstractNumId w:val="6"/>
  </w:num>
  <w:num w:numId="25">
    <w:abstractNumId w:val="7"/>
  </w:num>
  <w:num w:numId="26">
    <w:abstractNumId w:val="24"/>
  </w:num>
  <w:num w:numId="27">
    <w:abstractNumId w:val="36"/>
  </w:num>
  <w:num w:numId="28">
    <w:abstractNumId w:val="32"/>
  </w:num>
  <w:num w:numId="29">
    <w:abstractNumId w:val="19"/>
  </w:num>
  <w:num w:numId="30">
    <w:abstractNumId w:val="5"/>
  </w:num>
  <w:num w:numId="31">
    <w:abstractNumId w:val="45"/>
  </w:num>
  <w:num w:numId="32">
    <w:abstractNumId w:val="33"/>
  </w:num>
  <w:num w:numId="33">
    <w:abstractNumId w:val="27"/>
  </w:num>
  <w:num w:numId="34">
    <w:abstractNumId w:val="10"/>
  </w:num>
  <w:num w:numId="35">
    <w:abstractNumId w:val="34"/>
  </w:num>
  <w:num w:numId="36">
    <w:abstractNumId w:val="30"/>
  </w:num>
  <w:num w:numId="37">
    <w:abstractNumId w:val="23"/>
  </w:num>
  <w:num w:numId="38">
    <w:abstractNumId w:val="39"/>
  </w:num>
  <w:num w:numId="39">
    <w:abstractNumId w:val="2"/>
  </w:num>
  <w:num w:numId="40">
    <w:abstractNumId w:val="38"/>
  </w:num>
  <w:num w:numId="41">
    <w:abstractNumId w:val="29"/>
  </w:num>
  <w:num w:numId="42">
    <w:abstractNumId w:val="35"/>
  </w:num>
  <w:num w:numId="43">
    <w:abstractNumId w:val="28"/>
  </w:num>
  <w:num w:numId="44">
    <w:abstractNumId w:val="47"/>
  </w:num>
  <w:num w:numId="45">
    <w:abstractNumId w:val="41"/>
  </w:num>
  <w:num w:numId="46">
    <w:abstractNumId w:val="8"/>
  </w:num>
  <w:num w:numId="47">
    <w:abstractNumId w:val="16"/>
  </w:num>
  <w:num w:numId="48">
    <w:abstractNumId w:val="44"/>
  </w:num>
  <w:num w:numId="49">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C90"/>
    <w:rsid w:val="00000507"/>
    <w:rsid w:val="00002CB8"/>
    <w:rsid w:val="00002F6A"/>
    <w:rsid w:val="000032DF"/>
    <w:rsid w:val="0000334E"/>
    <w:rsid w:val="00004101"/>
    <w:rsid w:val="00004CB6"/>
    <w:rsid w:val="0000532F"/>
    <w:rsid w:val="000061F3"/>
    <w:rsid w:val="000065D1"/>
    <w:rsid w:val="00006EAC"/>
    <w:rsid w:val="000075D2"/>
    <w:rsid w:val="00007602"/>
    <w:rsid w:val="00007F1B"/>
    <w:rsid w:val="00011A17"/>
    <w:rsid w:val="0001309E"/>
    <w:rsid w:val="00013357"/>
    <w:rsid w:val="00013DE3"/>
    <w:rsid w:val="00014390"/>
    <w:rsid w:val="000151F6"/>
    <w:rsid w:val="000156E9"/>
    <w:rsid w:val="00015786"/>
    <w:rsid w:val="00015862"/>
    <w:rsid w:val="00017C58"/>
    <w:rsid w:val="00020207"/>
    <w:rsid w:val="00020717"/>
    <w:rsid w:val="000229F4"/>
    <w:rsid w:val="000239F5"/>
    <w:rsid w:val="000245E9"/>
    <w:rsid w:val="00024700"/>
    <w:rsid w:val="00026F92"/>
    <w:rsid w:val="000279D9"/>
    <w:rsid w:val="00030167"/>
    <w:rsid w:val="00030E31"/>
    <w:rsid w:val="0003131E"/>
    <w:rsid w:val="000316BB"/>
    <w:rsid w:val="00032122"/>
    <w:rsid w:val="00032417"/>
    <w:rsid w:val="00032B23"/>
    <w:rsid w:val="000331F0"/>
    <w:rsid w:val="00033424"/>
    <w:rsid w:val="00033F44"/>
    <w:rsid w:val="00036359"/>
    <w:rsid w:val="00037DA6"/>
    <w:rsid w:val="00037F33"/>
    <w:rsid w:val="00040247"/>
    <w:rsid w:val="000403C7"/>
    <w:rsid w:val="00040627"/>
    <w:rsid w:val="00041E75"/>
    <w:rsid w:val="00042B52"/>
    <w:rsid w:val="000433C5"/>
    <w:rsid w:val="00043A40"/>
    <w:rsid w:val="00044E4A"/>
    <w:rsid w:val="00045CD1"/>
    <w:rsid w:val="000468D0"/>
    <w:rsid w:val="00047715"/>
    <w:rsid w:val="00047810"/>
    <w:rsid w:val="000479BA"/>
    <w:rsid w:val="000515CB"/>
    <w:rsid w:val="000518D4"/>
    <w:rsid w:val="0005218F"/>
    <w:rsid w:val="0005298F"/>
    <w:rsid w:val="00052BC5"/>
    <w:rsid w:val="000540F3"/>
    <w:rsid w:val="00054421"/>
    <w:rsid w:val="000549BA"/>
    <w:rsid w:val="00055475"/>
    <w:rsid w:val="00056882"/>
    <w:rsid w:val="00056BBF"/>
    <w:rsid w:val="0005771D"/>
    <w:rsid w:val="0006042F"/>
    <w:rsid w:val="00060C85"/>
    <w:rsid w:val="00060E23"/>
    <w:rsid w:val="0006105B"/>
    <w:rsid w:val="0006187C"/>
    <w:rsid w:val="00062F82"/>
    <w:rsid w:val="0006348B"/>
    <w:rsid w:val="00066218"/>
    <w:rsid w:val="00066511"/>
    <w:rsid w:val="00066B8F"/>
    <w:rsid w:val="0006734B"/>
    <w:rsid w:val="00070065"/>
    <w:rsid w:val="00070BF1"/>
    <w:rsid w:val="00072CD0"/>
    <w:rsid w:val="00072D7B"/>
    <w:rsid w:val="00073097"/>
    <w:rsid w:val="000734BB"/>
    <w:rsid w:val="00074B84"/>
    <w:rsid w:val="00075C51"/>
    <w:rsid w:val="00076E3B"/>
    <w:rsid w:val="00077451"/>
    <w:rsid w:val="00081665"/>
    <w:rsid w:val="00081D7E"/>
    <w:rsid w:val="00082A0A"/>
    <w:rsid w:val="00082BFE"/>
    <w:rsid w:val="000835F6"/>
    <w:rsid w:val="0008393D"/>
    <w:rsid w:val="000850BA"/>
    <w:rsid w:val="00086107"/>
    <w:rsid w:val="00086DD0"/>
    <w:rsid w:val="00087628"/>
    <w:rsid w:val="00087CFE"/>
    <w:rsid w:val="000908E2"/>
    <w:rsid w:val="00091955"/>
    <w:rsid w:val="0009297E"/>
    <w:rsid w:val="00092A89"/>
    <w:rsid w:val="00093FB7"/>
    <w:rsid w:val="000941D2"/>
    <w:rsid w:val="00094909"/>
    <w:rsid w:val="0009648B"/>
    <w:rsid w:val="00096583"/>
    <w:rsid w:val="00096BF9"/>
    <w:rsid w:val="0009767B"/>
    <w:rsid w:val="000A0DE1"/>
    <w:rsid w:val="000A3467"/>
    <w:rsid w:val="000A474A"/>
    <w:rsid w:val="000A48EC"/>
    <w:rsid w:val="000A5762"/>
    <w:rsid w:val="000A58E4"/>
    <w:rsid w:val="000A5D27"/>
    <w:rsid w:val="000A69CD"/>
    <w:rsid w:val="000A6F15"/>
    <w:rsid w:val="000A6F50"/>
    <w:rsid w:val="000A7489"/>
    <w:rsid w:val="000A7CCA"/>
    <w:rsid w:val="000B047F"/>
    <w:rsid w:val="000B0601"/>
    <w:rsid w:val="000B0A19"/>
    <w:rsid w:val="000B0E2E"/>
    <w:rsid w:val="000B0F40"/>
    <w:rsid w:val="000B0F62"/>
    <w:rsid w:val="000B103F"/>
    <w:rsid w:val="000B43F6"/>
    <w:rsid w:val="000B4829"/>
    <w:rsid w:val="000B48E0"/>
    <w:rsid w:val="000B4A21"/>
    <w:rsid w:val="000B4CE6"/>
    <w:rsid w:val="000B52D8"/>
    <w:rsid w:val="000B53E5"/>
    <w:rsid w:val="000B5769"/>
    <w:rsid w:val="000B57DD"/>
    <w:rsid w:val="000B7367"/>
    <w:rsid w:val="000C0030"/>
    <w:rsid w:val="000C0B9C"/>
    <w:rsid w:val="000C16C1"/>
    <w:rsid w:val="000C211A"/>
    <w:rsid w:val="000C24B9"/>
    <w:rsid w:val="000C2633"/>
    <w:rsid w:val="000C35C1"/>
    <w:rsid w:val="000C4EE9"/>
    <w:rsid w:val="000C4FDF"/>
    <w:rsid w:val="000C5263"/>
    <w:rsid w:val="000C56B8"/>
    <w:rsid w:val="000C60DD"/>
    <w:rsid w:val="000C688C"/>
    <w:rsid w:val="000C6B7E"/>
    <w:rsid w:val="000C772F"/>
    <w:rsid w:val="000C77CD"/>
    <w:rsid w:val="000C7FD4"/>
    <w:rsid w:val="000D009E"/>
    <w:rsid w:val="000D0630"/>
    <w:rsid w:val="000D0F4F"/>
    <w:rsid w:val="000D1027"/>
    <w:rsid w:val="000D1268"/>
    <w:rsid w:val="000D12C4"/>
    <w:rsid w:val="000D1CC7"/>
    <w:rsid w:val="000D3067"/>
    <w:rsid w:val="000D3204"/>
    <w:rsid w:val="000D366C"/>
    <w:rsid w:val="000D38ED"/>
    <w:rsid w:val="000D5330"/>
    <w:rsid w:val="000D5606"/>
    <w:rsid w:val="000D5C8B"/>
    <w:rsid w:val="000D75F6"/>
    <w:rsid w:val="000D7C16"/>
    <w:rsid w:val="000E0CAE"/>
    <w:rsid w:val="000E11F3"/>
    <w:rsid w:val="000E2E67"/>
    <w:rsid w:val="000E567B"/>
    <w:rsid w:val="000E57BC"/>
    <w:rsid w:val="000E7B8E"/>
    <w:rsid w:val="000F0941"/>
    <w:rsid w:val="000F1AE9"/>
    <w:rsid w:val="000F2954"/>
    <w:rsid w:val="000F2BF3"/>
    <w:rsid w:val="000F389C"/>
    <w:rsid w:val="000F41C4"/>
    <w:rsid w:val="000F466C"/>
    <w:rsid w:val="000F473B"/>
    <w:rsid w:val="000F4D02"/>
    <w:rsid w:val="000F5535"/>
    <w:rsid w:val="000F799B"/>
    <w:rsid w:val="00100E22"/>
    <w:rsid w:val="0010128D"/>
    <w:rsid w:val="0010153A"/>
    <w:rsid w:val="0010183B"/>
    <w:rsid w:val="00102BEE"/>
    <w:rsid w:val="00103CEE"/>
    <w:rsid w:val="0010436C"/>
    <w:rsid w:val="00104F9E"/>
    <w:rsid w:val="00106F17"/>
    <w:rsid w:val="00110743"/>
    <w:rsid w:val="001107B3"/>
    <w:rsid w:val="001107C3"/>
    <w:rsid w:val="0011202B"/>
    <w:rsid w:val="0011220E"/>
    <w:rsid w:val="0011253F"/>
    <w:rsid w:val="00114662"/>
    <w:rsid w:val="0011595A"/>
    <w:rsid w:val="00115C29"/>
    <w:rsid w:val="00116597"/>
    <w:rsid w:val="00116981"/>
    <w:rsid w:val="00116CAA"/>
    <w:rsid w:val="001202E5"/>
    <w:rsid w:val="001204D9"/>
    <w:rsid w:val="0012088A"/>
    <w:rsid w:val="00121260"/>
    <w:rsid w:val="00121DC8"/>
    <w:rsid w:val="00122154"/>
    <w:rsid w:val="00122A8D"/>
    <w:rsid w:val="0012375F"/>
    <w:rsid w:val="00123A31"/>
    <w:rsid w:val="00123DAE"/>
    <w:rsid w:val="00123E16"/>
    <w:rsid w:val="00125AFA"/>
    <w:rsid w:val="00125C53"/>
    <w:rsid w:val="00125F6C"/>
    <w:rsid w:val="0012603E"/>
    <w:rsid w:val="00126399"/>
    <w:rsid w:val="00126774"/>
    <w:rsid w:val="00126A01"/>
    <w:rsid w:val="00126DE2"/>
    <w:rsid w:val="00127336"/>
    <w:rsid w:val="00127CAD"/>
    <w:rsid w:val="00131E79"/>
    <w:rsid w:val="001328A3"/>
    <w:rsid w:val="00133501"/>
    <w:rsid w:val="00133872"/>
    <w:rsid w:val="00133FD0"/>
    <w:rsid w:val="0013594B"/>
    <w:rsid w:val="00135B88"/>
    <w:rsid w:val="00135BD0"/>
    <w:rsid w:val="00137455"/>
    <w:rsid w:val="001374BB"/>
    <w:rsid w:val="00137563"/>
    <w:rsid w:val="0013797E"/>
    <w:rsid w:val="001407A8"/>
    <w:rsid w:val="00140F7A"/>
    <w:rsid w:val="00141423"/>
    <w:rsid w:val="00143B78"/>
    <w:rsid w:val="001445B3"/>
    <w:rsid w:val="001447D6"/>
    <w:rsid w:val="00145751"/>
    <w:rsid w:val="00145AFA"/>
    <w:rsid w:val="00146029"/>
    <w:rsid w:val="00146B9F"/>
    <w:rsid w:val="00146F5D"/>
    <w:rsid w:val="001512A9"/>
    <w:rsid w:val="00152BA8"/>
    <w:rsid w:val="00153576"/>
    <w:rsid w:val="00153CEA"/>
    <w:rsid w:val="00154C61"/>
    <w:rsid w:val="0015536D"/>
    <w:rsid w:val="0015547B"/>
    <w:rsid w:val="00155547"/>
    <w:rsid w:val="00155D26"/>
    <w:rsid w:val="00156399"/>
    <w:rsid w:val="00157E23"/>
    <w:rsid w:val="00160045"/>
    <w:rsid w:val="001606C8"/>
    <w:rsid w:val="001617EF"/>
    <w:rsid w:val="00161E86"/>
    <w:rsid w:val="001620B1"/>
    <w:rsid w:val="001621B0"/>
    <w:rsid w:val="00164457"/>
    <w:rsid w:val="001644E4"/>
    <w:rsid w:val="00165485"/>
    <w:rsid w:val="00165B92"/>
    <w:rsid w:val="0016692C"/>
    <w:rsid w:val="00166FEB"/>
    <w:rsid w:val="00167ACD"/>
    <w:rsid w:val="00170C15"/>
    <w:rsid w:val="00171756"/>
    <w:rsid w:val="0017229B"/>
    <w:rsid w:val="00173E41"/>
    <w:rsid w:val="00174F87"/>
    <w:rsid w:val="001776DB"/>
    <w:rsid w:val="00180532"/>
    <w:rsid w:val="00180F43"/>
    <w:rsid w:val="0018110A"/>
    <w:rsid w:val="0018120A"/>
    <w:rsid w:val="001821D9"/>
    <w:rsid w:val="00182400"/>
    <w:rsid w:val="00182852"/>
    <w:rsid w:val="00182F4A"/>
    <w:rsid w:val="00183493"/>
    <w:rsid w:val="00183AEF"/>
    <w:rsid w:val="00183E5F"/>
    <w:rsid w:val="001844D5"/>
    <w:rsid w:val="00184FDF"/>
    <w:rsid w:val="001858EC"/>
    <w:rsid w:val="00185EEE"/>
    <w:rsid w:val="00187C7B"/>
    <w:rsid w:val="00187FCA"/>
    <w:rsid w:val="00190266"/>
    <w:rsid w:val="001919F7"/>
    <w:rsid w:val="00192566"/>
    <w:rsid w:val="0019291A"/>
    <w:rsid w:val="00192A50"/>
    <w:rsid w:val="00192AF9"/>
    <w:rsid w:val="001933AB"/>
    <w:rsid w:val="00193BE3"/>
    <w:rsid w:val="001946D3"/>
    <w:rsid w:val="00195FA8"/>
    <w:rsid w:val="001961AF"/>
    <w:rsid w:val="00196EB9"/>
    <w:rsid w:val="0019766F"/>
    <w:rsid w:val="001A0039"/>
    <w:rsid w:val="001A0664"/>
    <w:rsid w:val="001A0A6F"/>
    <w:rsid w:val="001A1513"/>
    <w:rsid w:val="001A192E"/>
    <w:rsid w:val="001A293C"/>
    <w:rsid w:val="001A2FAC"/>
    <w:rsid w:val="001A644A"/>
    <w:rsid w:val="001A6721"/>
    <w:rsid w:val="001A713D"/>
    <w:rsid w:val="001A7521"/>
    <w:rsid w:val="001B045B"/>
    <w:rsid w:val="001B0536"/>
    <w:rsid w:val="001B1A48"/>
    <w:rsid w:val="001B2255"/>
    <w:rsid w:val="001B22EA"/>
    <w:rsid w:val="001B2940"/>
    <w:rsid w:val="001B3330"/>
    <w:rsid w:val="001B4551"/>
    <w:rsid w:val="001B6A37"/>
    <w:rsid w:val="001B6C26"/>
    <w:rsid w:val="001B6F16"/>
    <w:rsid w:val="001B7FE1"/>
    <w:rsid w:val="001C05C5"/>
    <w:rsid w:val="001C14B0"/>
    <w:rsid w:val="001C159C"/>
    <w:rsid w:val="001C16E2"/>
    <w:rsid w:val="001C241B"/>
    <w:rsid w:val="001C2F11"/>
    <w:rsid w:val="001C33DF"/>
    <w:rsid w:val="001C3686"/>
    <w:rsid w:val="001C42C7"/>
    <w:rsid w:val="001C5783"/>
    <w:rsid w:val="001C7B4B"/>
    <w:rsid w:val="001C7DD6"/>
    <w:rsid w:val="001D02FD"/>
    <w:rsid w:val="001D0A2B"/>
    <w:rsid w:val="001D147B"/>
    <w:rsid w:val="001D179B"/>
    <w:rsid w:val="001D17C4"/>
    <w:rsid w:val="001D2407"/>
    <w:rsid w:val="001D4133"/>
    <w:rsid w:val="001D4589"/>
    <w:rsid w:val="001D58C1"/>
    <w:rsid w:val="001D5B4B"/>
    <w:rsid w:val="001D61F1"/>
    <w:rsid w:val="001D6708"/>
    <w:rsid w:val="001D68A9"/>
    <w:rsid w:val="001D7150"/>
    <w:rsid w:val="001D7663"/>
    <w:rsid w:val="001D7804"/>
    <w:rsid w:val="001E0E81"/>
    <w:rsid w:val="001E1330"/>
    <w:rsid w:val="001E2EAA"/>
    <w:rsid w:val="001E4281"/>
    <w:rsid w:val="001E5522"/>
    <w:rsid w:val="001E7133"/>
    <w:rsid w:val="001E7529"/>
    <w:rsid w:val="001E76E9"/>
    <w:rsid w:val="001F1D18"/>
    <w:rsid w:val="001F26F5"/>
    <w:rsid w:val="001F38A3"/>
    <w:rsid w:val="001F3941"/>
    <w:rsid w:val="001F3A28"/>
    <w:rsid w:val="001F3D8A"/>
    <w:rsid w:val="001F4885"/>
    <w:rsid w:val="001F60CB"/>
    <w:rsid w:val="001F6788"/>
    <w:rsid w:val="001F6F05"/>
    <w:rsid w:val="001F7710"/>
    <w:rsid w:val="002018F1"/>
    <w:rsid w:val="002018F9"/>
    <w:rsid w:val="002031AF"/>
    <w:rsid w:val="002036B8"/>
    <w:rsid w:val="00203933"/>
    <w:rsid w:val="00203D7A"/>
    <w:rsid w:val="00204085"/>
    <w:rsid w:val="0020473B"/>
    <w:rsid w:val="00205F5D"/>
    <w:rsid w:val="0020619D"/>
    <w:rsid w:val="00206386"/>
    <w:rsid w:val="00206A9E"/>
    <w:rsid w:val="002070DE"/>
    <w:rsid w:val="00207266"/>
    <w:rsid w:val="00207437"/>
    <w:rsid w:val="00207AA8"/>
    <w:rsid w:val="002104DD"/>
    <w:rsid w:val="00211F98"/>
    <w:rsid w:val="0021321B"/>
    <w:rsid w:val="002136E7"/>
    <w:rsid w:val="00213DD3"/>
    <w:rsid w:val="0021496B"/>
    <w:rsid w:val="002155D3"/>
    <w:rsid w:val="00215CE7"/>
    <w:rsid w:val="002165B1"/>
    <w:rsid w:val="00217844"/>
    <w:rsid w:val="00217AF5"/>
    <w:rsid w:val="0022058A"/>
    <w:rsid w:val="00220FF0"/>
    <w:rsid w:val="0022105A"/>
    <w:rsid w:val="00222D4C"/>
    <w:rsid w:val="002237E8"/>
    <w:rsid w:val="002239AF"/>
    <w:rsid w:val="00224081"/>
    <w:rsid w:val="00224E8D"/>
    <w:rsid w:val="00224F6A"/>
    <w:rsid w:val="00225860"/>
    <w:rsid w:val="00225B6F"/>
    <w:rsid w:val="0023072F"/>
    <w:rsid w:val="00231CA6"/>
    <w:rsid w:val="00231E0F"/>
    <w:rsid w:val="002335CD"/>
    <w:rsid w:val="00235671"/>
    <w:rsid w:val="0023587D"/>
    <w:rsid w:val="002360A3"/>
    <w:rsid w:val="00236140"/>
    <w:rsid w:val="00236898"/>
    <w:rsid w:val="0023760D"/>
    <w:rsid w:val="0023772D"/>
    <w:rsid w:val="00241BBF"/>
    <w:rsid w:val="00241EF0"/>
    <w:rsid w:val="00242B8C"/>
    <w:rsid w:val="002437A7"/>
    <w:rsid w:val="0024479B"/>
    <w:rsid w:val="00245FBA"/>
    <w:rsid w:val="002460A3"/>
    <w:rsid w:val="00246504"/>
    <w:rsid w:val="00246547"/>
    <w:rsid w:val="00246E8C"/>
    <w:rsid w:val="00247174"/>
    <w:rsid w:val="002476BA"/>
    <w:rsid w:val="00247B01"/>
    <w:rsid w:val="0025051B"/>
    <w:rsid w:val="00250EBB"/>
    <w:rsid w:val="00252057"/>
    <w:rsid w:val="0025295B"/>
    <w:rsid w:val="002530D9"/>
    <w:rsid w:val="002537D4"/>
    <w:rsid w:val="00255065"/>
    <w:rsid w:val="00255922"/>
    <w:rsid w:val="00257050"/>
    <w:rsid w:val="00257B8F"/>
    <w:rsid w:val="0026077F"/>
    <w:rsid w:val="0026082A"/>
    <w:rsid w:val="002615D1"/>
    <w:rsid w:val="0026188A"/>
    <w:rsid w:val="00261B4C"/>
    <w:rsid w:val="0026294D"/>
    <w:rsid w:val="00262D4B"/>
    <w:rsid w:val="0026302A"/>
    <w:rsid w:val="00264056"/>
    <w:rsid w:val="00264C60"/>
    <w:rsid w:val="002653E4"/>
    <w:rsid w:val="00265505"/>
    <w:rsid w:val="0026649D"/>
    <w:rsid w:val="002665F6"/>
    <w:rsid w:val="0026721C"/>
    <w:rsid w:val="002673C0"/>
    <w:rsid w:val="00267B73"/>
    <w:rsid w:val="002700B1"/>
    <w:rsid w:val="0027089E"/>
    <w:rsid w:val="002713D6"/>
    <w:rsid w:val="00271490"/>
    <w:rsid w:val="00272100"/>
    <w:rsid w:val="002726E0"/>
    <w:rsid w:val="002731E0"/>
    <w:rsid w:val="002733C2"/>
    <w:rsid w:val="00273F2A"/>
    <w:rsid w:val="00274D44"/>
    <w:rsid w:val="00274E15"/>
    <w:rsid w:val="002751B3"/>
    <w:rsid w:val="00275B00"/>
    <w:rsid w:val="00275DC0"/>
    <w:rsid w:val="00276187"/>
    <w:rsid w:val="00276A8E"/>
    <w:rsid w:val="0027799A"/>
    <w:rsid w:val="00277F1A"/>
    <w:rsid w:val="002801B6"/>
    <w:rsid w:val="002818ED"/>
    <w:rsid w:val="002820AF"/>
    <w:rsid w:val="0028288B"/>
    <w:rsid w:val="00282B0E"/>
    <w:rsid w:val="00282BB3"/>
    <w:rsid w:val="00283144"/>
    <w:rsid w:val="00283D87"/>
    <w:rsid w:val="00283F9D"/>
    <w:rsid w:val="00284940"/>
    <w:rsid w:val="0028552F"/>
    <w:rsid w:val="002876A3"/>
    <w:rsid w:val="002901F0"/>
    <w:rsid w:val="00290868"/>
    <w:rsid w:val="002938AC"/>
    <w:rsid w:val="002940BF"/>
    <w:rsid w:val="002942A4"/>
    <w:rsid w:val="00295EDE"/>
    <w:rsid w:val="00295F91"/>
    <w:rsid w:val="00296CCC"/>
    <w:rsid w:val="00296CE8"/>
    <w:rsid w:val="00297415"/>
    <w:rsid w:val="002A0F6B"/>
    <w:rsid w:val="002A1014"/>
    <w:rsid w:val="002A1A9A"/>
    <w:rsid w:val="002A2927"/>
    <w:rsid w:val="002A3FC7"/>
    <w:rsid w:val="002A47A1"/>
    <w:rsid w:val="002A4B2A"/>
    <w:rsid w:val="002A5A3F"/>
    <w:rsid w:val="002A5A90"/>
    <w:rsid w:val="002A690F"/>
    <w:rsid w:val="002A6C69"/>
    <w:rsid w:val="002A7737"/>
    <w:rsid w:val="002B0788"/>
    <w:rsid w:val="002B0A01"/>
    <w:rsid w:val="002B0AC0"/>
    <w:rsid w:val="002B0CF5"/>
    <w:rsid w:val="002B0EC4"/>
    <w:rsid w:val="002B151A"/>
    <w:rsid w:val="002B41CE"/>
    <w:rsid w:val="002B45FF"/>
    <w:rsid w:val="002B517C"/>
    <w:rsid w:val="002B7276"/>
    <w:rsid w:val="002B7A71"/>
    <w:rsid w:val="002C0411"/>
    <w:rsid w:val="002C1348"/>
    <w:rsid w:val="002C13CE"/>
    <w:rsid w:val="002C171B"/>
    <w:rsid w:val="002C244A"/>
    <w:rsid w:val="002C28AB"/>
    <w:rsid w:val="002C32C2"/>
    <w:rsid w:val="002C3881"/>
    <w:rsid w:val="002C4888"/>
    <w:rsid w:val="002C4964"/>
    <w:rsid w:val="002C4E25"/>
    <w:rsid w:val="002C4F9A"/>
    <w:rsid w:val="002C5252"/>
    <w:rsid w:val="002C59DD"/>
    <w:rsid w:val="002C5D83"/>
    <w:rsid w:val="002C6937"/>
    <w:rsid w:val="002C6A66"/>
    <w:rsid w:val="002C6B36"/>
    <w:rsid w:val="002C6C8B"/>
    <w:rsid w:val="002C6DBF"/>
    <w:rsid w:val="002C6F34"/>
    <w:rsid w:val="002C7A52"/>
    <w:rsid w:val="002D0B49"/>
    <w:rsid w:val="002D158F"/>
    <w:rsid w:val="002D18F1"/>
    <w:rsid w:val="002D21CE"/>
    <w:rsid w:val="002D3B44"/>
    <w:rsid w:val="002D6109"/>
    <w:rsid w:val="002D73CE"/>
    <w:rsid w:val="002E0143"/>
    <w:rsid w:val="002E01D6"/>
    <w:rsid w:val="002E03E7"/>
    <w:rsid w:val="002E120B"/>
    <w:rsid w:val="002E1B62"/>
    <w:rsid w:val="002E3720"/>
    <w:rsid w:val="002E3881"/>
    <w:rsid w:val="002E4D68"/>
    <w:rsid w:val="002E5A66"/>
    <w:rsid w:val="002E5DAD"/>
    <w:rsid w:val="002E665F"/>
    <w:rsid w:val="002E777F"/>
    <w:rsid w:val="002E7BF2"/>
    <w:rsid w:val="002F0C14"/>
    <w:rsid w:val="002F1418"/>
    <w:rsid w:val="002F27EE"/>
    <w:rsid w:val="002F2F71"/>
    <w:rsid w:val="002F40B9"/>
    <w:rsid w:val="002F45EF"/>
    <w:rsid w:val="002F4F5E"/>
    <w:rsid w:val="002F4FDB"/>
    <w:rsid w:val="002F5103"/>
    <w:rsid w:val="002F548D"/>
    <w:rsid w:val="002F63DD"/>
    <w:rsid w:val="002F64BF"/>
    <w:rsid w:val="002F7524"/>
    <w:rsid w:val="002F7598"/>
    <w:rsid w:val="002F790B"/>
    <w:rsid w:val="002F79A1"/>
    <w:rsid w:val="003003C7"/>
    <w:rsid w:val="003004AA"/>
    <w:rsid w:val="003019C9"/>
    <w:rsid w:val="003019F5"/>
    <w:rsid w:val="00301C42"/>
    <w:rsid w:val="00301F88"/>
    <w:rsid w:val="003025A3"/>
    <w:rsid w:val="00302F49"/>
    <w:rsid w:val="003036C9"/>
    <w:rsid w:val="0030390B"/>
    <w:rsid w:val="003045FF"/>
    <w:rsid w:val="00305561"/>
    <w:rsid w:val="00305CB1"/>
    <w:rsid w:val="00307150"/>
    <w:rsid w:val="003077C8"/>
    <w:rsid w:val="00307984"/>
    <w:rsid w:val="0031062E"/>
    <w:rsid w:val="003109FC"/>
    <w:rsid w:val="0031192C"/>
    <w:rsid w:val="0031255A"/>
    <w:rsid w:val="00313218"/>
    <w:rsid w:val="00313A76"/>
    <w:rsid w:val="00314276"/>
    <w:rsid w:val="00314C1F"/>
    <w:rsid w:val="00314C28"/>
    <w:rsid w:val="00315042"/>
    <w:rsid w:val="00315C4A"/>
    <w:rsid w:val="00316E77"/>
    <w:rsid w:val="00316FCF"/>
    <w:rsid w:val="0031770A"/>
    <w:rsid w:val="003218DE"/>
    <w:rsid w:val="00321CB1"/>
    <w:rsid w:val="00321DB2"/>
    <w:rsid w:val="003221C5"/>
    <w:rsid w:val="0032232D"/>
    <w:rsid w:val="00324284"/>
    <w:rsid w:val="00324D0E"/>
    <w:rsid w:val="003251F9"/>
    <w:rsid w:val="003252A8"/>
    <w:rsid w:val="00325AEE"/>
    <w:rsid w:val="003268FE"/>
    <w:rsid w:val="003276EE"/>
    <w:rsid w:val="00327E35"/>
    <w:rsid w:val="00330467"/>
    <w:rsid w:val="00330B19"/>
    <w:rsid w:val="00331C58"/>
    <w:rsid w:val="003323CC"/>
    <w:rsid w:val="003323E0"/>
    <w:rsid w:val="0033242B"/>
    <w:rsid w:val="0033309C"/>
    <w:rsid w:val="00333DF8"/>
    <w:rsid w:val="003345AF"/>
    <w:rsid w:val="00334D0D"/>
    <w:rsid w:val="00334FDC"/>
    <w:rsid w:val="0033685C"/>
    <w:rsid w:val="00337BEC"/>
    <w:rsid w:val="00337E3A"/>
    <w:rsid w:val="00340173"/>
    <w:rsid w:val="0034167D"/>
    <w:rsid w:val="00341D6D"/>
    <w:rsid w:val="00341E49"/>
    <w:rsid w:val="003428B9"/>
    <w:rsid w:val="00343301"/>
    <w:rsid w:val="0034350E"/>
    <w:rsid w:val="00344E0D"/>
    <w:rsid w:val="00345181"/>
    <w:rsid w:val="0034652F"/>
    <w:rsid w:val="00346C05"/>
    <w:rsid w:val="003503C8"/>
    <w:rsid w:val="00350538"/>
    <w:rsid w:val="00350B3F"/>
    <w:rsid w:val="003522D1"/>
    <w:rsid w:val="00352782"/>
    <w:rsid w:val="00354678"/>
    <w:rsid w:val="00354E6C"/>
    <w:rsid w:val="00355459"/>
    <w:rsid w:val="003554C4"/>
    <w:rsid w:val="00355757"/>
    <w:rsid w:val="00356402"/>
    <w:rsid w:val="00356544"/>
    <w:rsid w:val="00356DAA"/>
    <w:rsid w:val="00357534"/>
    <w:rsid w:val="00357862"/>
    <w:rsid w:val="00357D37"/>
    <w:rsid w:val="00360018"/>
    <w:rsid w:val="003611C5"/>
    <w:rsid w:val="00361728"/>
    <w:rsid w:val="00361732"/>
    <w:rsid w:val="003624C9"/>
    <w:rsid w:val="00363310"/>
    <w:rsid w:val="00363376"/>
    <w:rsid w:val="00364ACC"/>
    <w:rsid w:val="00365D58"/>
    <w:rsid w:val="00366B1F"/>
    <w:rsid w:val="00366BF9"/>
    <w:rsid w:val="0036735D"/>
    <w:rsid w:val="003675B3"/>
    <w:rsid w:val="00370350"/>
    <w:rsid w:val="00370DCB"/>
    <w:rsid w:val="0037223C"/>
    <w:rsid w:val="0037239E"/>
    <w:rsid w:val="003727CE"/>
    <w:rsid w:val="003730B6"/>
    <w:rsid w:val="003742C3"/>
    <w:rsid w:val="00375465"/>
    <w:rsid w:val="00375918"/>
    <w:rsid w:val="003765AD"/>
    <w:rsid w:val="0037672E"/>
    <w:rsid w:val="00376CA0"/>
    <w:rsid w:val="00376EE9"/>
    <w:rsid w:val="00377430"/>
    <w:rsid w:val="003775C8"/>
    <w:rsid w:val="0037777A"/>
    <w:rsid w:val="0038019B"/>
    <w:rsid w:val="00380913"/>
    <w:rsid w:val="00380947"/>
    <w:rsid w:val="00380A97"/>
    <w:rsid w:val="00381636"/>
    <w:rsid w:val="00381B95"/>
    <w:rsid w:val="00383C67"/>
    <w:rsid w:val="003842B5"/>
    <w:rsid w:val="0038551C"/>
    <w:rsid w:val="00387CD1"/>
    <w:rsid w:val="003921EA"/>
    <w:rsid w:val="00392A9F"/>
    <w:rsid w:val="00392C20"/>
    <w:rsid w:val="003935E5"/>
    <w:rsid w:val="0039423D"/>
    <w:rsid w:val="00394570"/>
    <w:rsid w:val="00394604"/>
    <w:rsid w:val="003956E6"/>
    <w:rsid w:val="0039594B"/>
    <w:rsid w:val="00397319"/>
    <w:rsid w:val="00397664"/>
    <w:rsid w:val="003976D4"/>
    <w:rsid w:val="00397DFA"/>
    <w:rsid w:val="00397EE8"/>
    <w:rsid w:val="003A03A6"/>
    <w:rsid w:val="003A1D3F"/>
    <w:rsid w:val="003A2D29"/>
    <w:rsid w:val="003A53FC"/>
    <w:rsid w:val="003A5739"/>
    <w:rsid w:val="003A57D4"/>
    <w:rsid w:val="003A64B0"/>
    <w:rsid w:val="003A6500"/>
    <w:rsid w:val="003A6AA0"/>
    <w:rsid w:val="003A6D65"/>
    <w:rsid w:val="003A79AC"/>
    <w:rsid w:val="003A7B0A"/>
    <w:rsid w:val="003B14A5"/>
    <w:rsid w:val="003B16CE"/>
    <w:rsid w:val="003B1ADC"/>
    <w:rsid w:val="003B1BF6"/>
    <w:rsid w:val="003B2666"/>
    <w:rsid w:val="003B2BA4"/>
    <w:rsid w:val="003B3D07"/>
    <w:rsid w:val="003B40F4"/>
    <w:rsid w:val="003B45AC"/>
    <w:rsid w:val="003B51CC"/>
    <w:rsid w:val="003B60EF"/>
    <w:rsid w:val="003B6242"/>
    <w:rsid w:val="003B6991"/>
    <w:rsid w:val="003B7DAF"/>
    <w:rsid w:val="003C0520"/>
    <w:rsid w:val="003C2832"/>
    <w:rsid w:val="003C41BD"/>
    <w:rsid w:val="003C5092"/>
    <w:rsid w:val="003C5BC4"/>
    <w:rsid w:val="003C5DBA"/>
    <w:rsid w:val="003C627D"/>
    <w:rsid w:val="003C63A3"/>
    <w:rsid w:val="003C76EE"/>
    <w:rsid w:val="003C7A26"/>
    <w:rsid w:val="003D0EE7"/>
    <w:rsid w:val="003D101E"/>
    <w:rsid w:val="003D224A"/>
    <w:rsid w:val="003D2E3F"/>
    <w:rsid w:val="003D2FC3"/>
    <w:rsid w:val="003D3DC3"/>
    <w:rsid w:val="003D420F"/>
    <w:rsid w:val="003D4340"/>
    <w:rsid w:val="003D4BA2"/>
    <w:rsid w:val="003D504A"/>
    <w:rsid w:val="003D52EE"/>
    <w:rsid w:val="003D5B12"/>
    <w:rsid w:val="003D5D10"/>
    <w:rsid w:val="003D5FAE"/>
    <w:rsid w:val="003D7070"/>
    <w:rsid w:val="003D7332"/>
    <w:rsid w:val="003D79BC"/>
    <w:rsid w:val="003D7FAE"/>
    <w:rsid w:val="003E0CB7"/>
    <w:rsid w:val="003E31E7"/>
    <w:rsid w:val="003E3F20"/>
    <w:rsid w:val="003E41C7"/>
    <w:rsid w:val="003E41D0"/>
    <w:rsid w:val="003E46FB"/>
    <w:rsid w:val="003E4EAB"/>
    <w:rsid w:val="003E5200"/>
    <w:rsid w:val="003E5C1B"/>
    <w:rsid w:val="003E64DB"/>
    <w:rsid w:val="003E651C"/>
    <w:rsid w:val="003E65DE"/>
    <w:rsid w:val="003E67A7"/>
    <w:rsid w:val="003F1E2C"/>
    <w:rsid w:val="003F2D44"/>
    <w:rsid w:val="003F3268"/>
    <w:rsid w:val="003F5280"/>
    <w:rsid w:val="003F52C2"/>
    <w:rsid w:val="003F7586"/>
    <w:rsid w:val="00400434"/>
    <w:rsid w:val="00401986"/>
    <w:rsid w:val="004025F1"/>
    <w:rsid w:val="00403725"/>
    <w:rsid w:val="004039CA"/>
    <w:rsid w:val="00403D7C"/>
    <w:rsid w:val="00404280"/>
    <w:rsid w:val="00404BDC"/>
    <w:rsid w:val="00406B6F"/>
    <w:rsid w:val="004075F6"/>
    <w:rsid w:val="0040796F"/>
    <w:rsid w:val="00407D73"/>
    <w:rsid w:val="00407F20"/>
    <w:rsid w:val="0041027F"/>
    <w:rsid w:val="00410722"/>
    <w:rsid w:val="00410A8F"/>
    <w:rsid w:val="00412870"/>
    <w:rsid w:val="0041423B"/>
    <w:rsid w:val="00414FE3"/>
    <w:rsid w:val="004161D5"/>
    <w:rsid w:val="00416B4F"/>
    <w:rsid w:val="0041768B"/>
    <w:rsid w:val="004176A7"/>
    <w:rsid w:val="004200BA"/>
    <w:rsid w:val="004205D6"/>
    <w:rsid w:val="00421084"/>
    <w:rsid w:val="004211CF"/>
    <w:rsid w:val="00421F8F"/>
    <w:rsid w:val="0042246B"/>
    <w:rsid w:val="004233DF"/>
    <w:rsid w:val="004234C4"/>
    <w:rsid w:val="004238C9"/>
    <w:rsid w:val="00423F32"/>
    <w:rsid w:val="00424390"/>
    <w:rsid w:val="00424EA1"/>
    <w:rsid w:val="004256BD"/>
    <w:rsid w:val="00425748"/>
    <w:rsid w:val="004263F0"/>
    <w:rsid w:val="00427936"/>
    <w:rsid w:val="00431AF9"/>
    <w:rsid w:val="004320D0"/>
    <w:rsid w:val="00432448"/>
    <w:rsid w:val="00433942"/>
    <w:rsid w:val="00433EF8"/>
    <w:rsid w:val="00434E4F"/>
    <w:rsid w:val="00435FBD"/>
    <w:rsid w:val="004360EE"/>
    <w:rsid w:val="00436225"/>
    <w:rsid w:val="0043623F"/>
    <w:rsid w:val="0043735A"/>
    <w:rsid w:val="00440D87"/>
    <w:rsid w:val="00440FC2"/>
    <w:rsid w:val="00441A8D"/>
    <w:rsid w:val="00441CEE"/>
    <w:rsid w:val="00441EAD"/>
    <w:rsid w:val="0044400B"/>
    <w:rsid w:val="004456A4"/>
    <w:rsid w:val="004456C9"/>
    <w:rsid w:val="00445B8B"/>
    <w:rsid w:val="00446943"/>
    <w:rsid w:val="00446D79"/>
    <w:rsid w:val="00446E26"/>
    <w:rsid w:val="00446F11"/>
    <w:rsid w:val="004478B7"/>
    <w:rsid w:val="00450053"/>
    <w:rsid w:val="00450D59"/>
    <w:rsid w:val="00451080"/>
    <w:rsid w:val="004511A2"/>
    <w:rsid w:val="004518FF"/>
    <w:rsid w:val="00451C7F"/>
    <w:rsid w:val="00452291"/>
    <w:rsid w:val="00452900"/>
    <w:rsid w:val="0045292A"/>
    <w:rsid w:val="00452DCC"/>
    <w:rsid w:val="00452F0C"/>
    <w:rsid w:val="00453ABC"/>
    <w:rsid w:val="00455E9A"/>
    <w:rsid w:val="00456532"/>
    <w:rsid w:val="00457FC6"/>
    <w:rsid w:val="004604FD"/>
    <w:rsid w:val="00460ABD"/>
    <w:rsid w:val="004619CA"/>
    <w:rsid w:val="00461B95"/>
    <w:rsid w:val="0046285B"/>
    <w:rsid w:val="00463ADF"/>
    <w:rsid w:val="0046415D"/>
    <w:rsid w:val="00464613"/>
    <w:rsid w:val="004646A1"/>
    <w:rsid w:val="00464F79"/>
    <w:rsid w:val="004653C9"/>
    <w:rsid w:val="00466940"/>
    <w:rsid w:val="00466E44"/>
    <w:rsid w:val="0046780F"/>
    <w:rsid w:val="00467C68"/>
    <w:rsid w:val="0047011B"/>
    <w:rsid w:val="004707FC"/>
    <w:rsid w:val="00470AF1"/>
    <w:rsid w:val="004713F1"/>
    <w:rsid w:val="004719DB"/>
    <w:rsid w:val="0047246F"/>
    <w:rsid w:val="00472E98"/>
    <w:rsid w:val="004735B5"/>
    <w:rsid w:val="0047367E"/>
    <w:rsid w:val="00473887"/>
    <w:rsid w:val="00474642"/>
    <w:rsid w:val="00475C95"/>
    <w:rsid w:val="004766AD"/>
    <w:rsid w:val="00477F43"/>
    <w:rsid w:val="00477FCB"/>
    <w:rsid w:val="00480A6A"/>
    <w:rsid w:val="004816A4"/>
    <w:rsid w:val="004831A0"/>
    <w:rsid w:val="00483716"/>
    <w:rsid w:val="00484C5D"/>
    <w:rsid w:val="0048732A"/>
    <w:rsid w:val="00487CF4"/>
    <w:rsid w:val="00490AFD"/>
    <w:rsid w:val="00492536"/>
    <w:rsid w:val="00492890"/>
    <w:rsid w:val="00492951"/>
    <w:rsid w:val="00493527"/>
    <w:rsid w:val="00493CE3"/>
    <w:rsid w:val="00495406"/>
    <w:rsid w:val="004961BA"/>
    <w:rsid w:val="00496640"/>
    <w:rsid w:val="0049667C"/>
    <w:rsid w:val="00496AE3"/>
    <w:rsid w:val="00497E5A"/>
    <w:rsid w:val="004A0333"/>
    <w:rsid w:val="004A0C0F"/>
    <w:rsid w:val="004A10BB"/>
    <w:rsid w:val="004A1E1E"/>
    <w:rsid w:val="004A2157"/>
    <w:rsid w:val="004A3449"/>
    <w:rsid w:val="004A3BA3"/>
    <w:rsid w:val="004A3C87"/>
    <w:rsid w:val="004A44FB"/>
    <w:rsid w:val="004A4A73"/>
    <w:rsid w:val="004A617D"/>
    <w:rsid w:val="004A6E3A"/>
    <w:rsid w:val="004A6F8F"/>
    <w:rsid w:val="004A743C"/>
    <w:rsid w:val="004A7544"/>
    <w:rsid w:val="004A7C94"/>
    <w:rsid w:val="004B00B4"/>
    <w:rsid w:val="004B01F4"/>
    <w:rsid w:val="004B0CC8"/>
    <w:rsid w:val="004B29B4"/>
    <w:rsid w:val="004B2BE0"/>
    <w:rsid w:val="004B2D6B"/>
    <w:rsid w:val="004B3193"/>
    <w:rsid w:val="004B3291"/>
    <w:rsid w:val="004B40CB"/>
    <w:rsid w:val="004B41B1"/>
    <w:rsid w:val="004B4200"/>
    <w:rsid w:val="004B4EEC"/>
    <w:rsid w:val="004B4FEF"/>
    <w:rsid w:val="004B5A0A"/>
    <w:rsid w:val="004B5F10"/>
    <w:rsid w:val="004B60D7"/>
    <w:rsid w:val="004B71F6"/>
    <w:rsid w:val="004B7A4D"/>
    <w:rsid w:val="004B7E13"/>
    <w:rsid w:val="004C1093"/>
    <w:rsid w:val="004C1C35"/>
    <w:rsid w:val="004C2203"/>
    <w:rsid w:val="004C3781"/>
    <w:rsid w:val="004C4421"/>
    <w:rsid w:val="004C64BF"/>
    <w:rsid w:val="004C674C"/>
    <w:rsid w:val="004C70AB"/>
    <w:rsid w:val="004C7151"/>
    <w:rsid w:val="004C76A8"/>
    <w:rsid w:val="004C77E4"/>
    <w:rsid w:val="004D0856"/>
    <w:rsid w:val="004D0E62"/>
    <w:rsid w:val="004D1C51"/>
    <w:rsid w:val="004D3CCD"/>
    <w:rsid w:val="004D536C"/>
    <w:rsid w:val="004D6294"/>
    <w:rsid w:val="004D750A"/>
    <w:rsid w:val="004D7E2B"/>
    <w:rsid w:val="004E070B"/>
    <w:rsid w:val="004E092A"/>
    <w:rsid w:val="004E362B"/>
    <w:rsid w:val="004E5984"/>
    <w:rsid w:val="004E5A3D"/>
    <w:rsid w:val="004E6445"/>
    <w:rsid w:val="004E664D"/>
    <w:rsid w:val="004E6A3E"/>
    <w:rsid w:val="004E6C4F"/>
    <w:rsid w:val="004E7158"/>
    <w:rsid w:val="004F01C5"/>
    <w:rsid w:val="004F076B"/>
    <w:rsid w:val="004F3F1A"/>
    <w:rsid w:val="004F4C52"/>
    <w:rsid w:val="004F4DAE"/>
    <w:rsid w:val="004F6842"/>
    <w:rsid w:val="004F6866"/>
    <w:rsid w:val="004F6E91"/>
    <w:rsid w:val="004F726C"/>
    <w:rsid w:val="004F7AB4"/>
    <w:rsid w:val="004F7B7E"/>
    <w:rsid w:val="004F7DFB"/>
    <w:rsid w:val="00500052"/>
    <w:rsid w:val="0050015F"/>
    <w:rsid w:val="00500D76"/>
    <w:rsid w:val="00501847"/>
    <w:rsid w:val="00501BE4"/>
    <w:rsid w:val="00502B08"/>
    <w:rsid w:val="00504322"/>
    <w:rsid w:val="005046C2"/>
    <w:rsid w:val="005058AC"/>
    <w:rsid w:val="00506849"/>
    <w:rsid w:val="00506B04"/>
    <w:rsid w:val="00506B07"/>
    <w:rsid w:val="005071EF"/>
    <w:rsid w:val="00510166"/>
    <w:rsid w:val="00510ABF"/>
    <w:rsid w:val="005117FA"/>
    <w:rsid w:val="005122EB"/>
    <w:rsid w:val="00512613"/>
    <w:rsid w:val="005132CB"/>
    <w:rsid w:val="00513D71"/>
    <w:rsid w:val="005140A9"/>
    <w:rsid w:val="00516308"/>
    <w:rsid w:val="00517512"/>
    <w:rsid w:val="00517BA9"/>
    <w:rsid w:val="005220AD"/>
    <w:rsid w:val="0052212D"/>
    <w:rsid w:val="0052218D"/>
    <w:rsid w:val="005228D1"/>
    <w:rsid w:val="00522C59"/>
    <w:rsid w:val="005232CD"/>
    <w:rsid w:val="005236C7"/>
    <w:rsid w:val="005249A5"/>
    <w:rsid w:val="00525903"/>
    <w:rsid w:val="00526055"/>
    <w:rsid w:val="0052613D"/>
    <w:rsid w:val="0052650A"/>
    <w:rsid w:val="00526FAE"/>
    <w:rsid w:val="0052792E"/>
    <w:rsid w:val="00527A3E"/>
    <w:rsid w:val="00530BCB"/>
    <w:rsid w:val="00530BF0"/>
    <w:rsid w:val="005315DF"/>
    <w:rsid w:val="00532A03"/>
    <w:rsid w:val="0053340B"/>
    <w:rsid w:val="0053375C"/>
    <w:rsid w:val="00533760"/>
    <w:rsid w:val="00534006"/>
    <w:rsid w:val="0053439F"/>
    <w:rsid w:val="00534855"/>
    <w:rsid w:val="00534A34"/>
    <w:rsid w:val="00534FCF"/>
    <w:rsid w:val="00535D37"/>
    <w:rsid w:val="00537585"/>
    <w:rsid w:val="0054175F"/>
    <w:rsid w:val="00541D83"/>
    <w:rsid w:val="005423DA"/>
    <w:rsid w:val="00542E1E"/>
    <w:rsid w:val="00544039"/>
    <w:rsid w:val="00544312"/>
    <w:rsid w:val="005443D9"/>
    <w:rsid w:val="0054451B"/>
    <w:rsid w:val="00544920"/>
    <w:rsid w:val="00544992"/>
    <w:rsid w:val="00544E32"/>
    <w:rsid w:val="00545011"/>
    <w:rsid w:val="005455D8"/>
    <w:rsid w:val="00545B91"/>
    <w:rsid w:val="00545C12"/>
    <w:rsid w:val="00546098"/>
    <w:rsid w:val="00550082"/>
    <w:rsid w:val="00550266"/>
    <w:rsid w:val="00550D19"/>
    <w:rsid w:val="0055123E"/>
    <w:rsid w:val="005519F6"/>
    <w:rsid w:val="00551ED7"/>
    <w:rsid w:val="005522B0"/>
    <w:rsid w:val="00552337"/>
    <w:rsid w:val="005533C4"/>
    <w:rsid w:val="0055343D"/>
    <w:rsid w:val="00553EF1"/>
    <w:rsid w:val="00554520"/>
    <w:rsid w:val="0055502F"/>
    <w:rsid w:val="00555616"/>
    <w:rsid w:val="005566AE"/>
    <w:rsid w:val="00556D98"/>
    <w:rsid w:val="005577E7"/>
    <w:rsid w:val="00557E33"/>
    <w:rsid w:val="005601E3"/>
    <w:rsid w:val="00561A43"/>
    <w:rsid w:val="00561D8F"/>
    <w:rsid w:val="00562B72"/>
    <w:rsid w:val="00562EA3"/>
    <w:rsid w:val="00563B5D"/>
    <w:rsid w:val="00565184"/>
    <w:rsid w:val="00565337"/>
    <w:rsid w:val="00566031"/>
    <w:rsid w:val="005668D5"/>
    <w:rsid w:val="00566E72"/>
    <w:rsid w:val="0056776F"/>
    <w:rsid w:val="005712D3"/>
    <w:rsid w:val="005713D4"/>
    <w:rsid w:val="005720CD"/>
    <w:rsid w:val="005720CE"/>
    <w:rsid w:val="00572947"/>
    <w:rsid w:val="00573034"/>
    <w:rsid w:val="0057341D"/>
    <w:rsid w:val="005739E7"/>
    <w:rsid w:val="00575F20"/>
    <w:rsid w:val="00575FD2"/>
    <w:rsid w:val="005764BA"/>
    <w:rsid w:val="00576AD4"/>
    <w:rsid w:val="00576E29"/>
    <w:rsid w:val="005775DD"/>
    <w:rsid w:val="00577CDD"/>
    <w:rsid w:val="00581ADB"/>
    <w:rsid w:val="00582375"/>
    <w:rsid w:val="00582782"/>
    <w:rsid w:val="00584157"/>
    <w:rsid w:val="0058486F"/>
    <w:rsid w:val="0058496B"/>
    <w:rsid w:val="00584B82"/>
    <w:rsid w:val="00585200"/>
    <w:rsid w:val="00590BDE"/>
    <w:rsid w:val="0059121C"/>
    <w:rsid w:val="0059145D"/>
    <w:rsid w:val="00591F6C"/>
    <w:rsid w:val="00592BA1"/>
    <w:rsid w:val="00593E30"/>
    <w:rsid w:val="00594460"/>
    <w:rsid w:val="00594890"/>
    <w:rsid w:val="005949DD"/>
    <w:rsid w:val="00594B8E"/>
    <w:rsid w:val="0059547C"/>
    <w:rsid w:val="005976E2"/>
    <w:rsid w:val="00597908"/>
    <w:rsid w:val="005979B6"/>
    <w:rsid w:val="005A03D4"/>
    <w:rsid w:val="005A1AAA"/>
    <w:rsid w:val="005A307D"/>
    <w:rsid w:val="005A33AB"/>
    <w:rsid w:val="005A3473"/>
    <w:rsid w:val="005A3862"/>
    <w:rsid w:val="005A5577"/>
    <w:rsid w:val="005A5A84"/>
    <w:rsid w:val="005A5FC8"/>
    <w:rsid w:val="005A670E"/>
    <w:rsid w:val="005A6DF5"/>
    <w:rsid w:val="005A7848"/>
    <w:rsid w:val="005A7BC0"/>
    <w:rsid w:val="005A7CF1"/>
    <w:rsid w:val="005B0770"/>
    <w:rsid w:val="005B0BE1"/>
    <w:rsid w:val="005B1CA7"/>
    <w:rsid w:val="005B1E4E"/>
    <w:rsid w:val="005B3857"/>
    <w:rsid w:val="005B3A1D"/>
    <w:rsid w:val="005B3F8A"/>
    <w:rsid w:val="005B403D"/>
    <w:rsid w:val="005B42C8"/>
    <w:rsid w:val="005B4343"/>
    <w:rsid w:val="005B5451"/>
    <w:rsid w:val="005B5C4B"/>
    <w:rsid w:val="005B5DA2"/>
    <w:rsid w:val="005B6EA4"/>
    <w:rsid w:val="005B7868"/>
    <w:rsid w:val="005C0294"/>
    <w:rsid w:val="005C0526"/>
    <w:rsid w:val="005C1B24"/>
    <w:rsid w:val="005C2BF3"/>
    <w:rsid w:val="005C388D"/>
    <w:rsid w:val="005C573E"/>
    <w:rsid w:val="005C65BB"/>
    <w:rsid w:val="005C67E3"/>
    <w:rsid w:val="005C687E"/>
    <w:rsid w:val="005C6FA7"/>
    <w:rsid w:val="005C7AE3"/>
    <w:rsid w:val="005D0568"/>
    <w:rsid w:val="005D07BA"/>
    <w:rsid w:val="005D0882"/>
    <w:rsid w:val="005D25E4"/>
    <w:rsid w:val="005D2BFB"/>
    <w:rsid w:val="005D3DB3"/>
    <w:rsid w:val="005D4299"/>
    <w:rsid w:val="005D430C"/>
    <w:rsid w:val="005D4998"/>
    <w:rsid w:val="005D52CA"/>
    <w:rsid w:val="005D5512"/>
    <w:rsid w:val="005D62DA"/>
    <w:rsid w:val="005D6A77"/>
    <w:rsid w:val="005D7839"/>
    <w:rsid w:val="005D7C4E"/>
    <w:rsid w:val="005E0F84"/>
    <w:rsid w:val="005E1C59"/>
    <w:rsid w:val="005E22F9"/>
    <w:rsid w:val="005E38AA"/>
    <w:rsid w:val="005E3A94"/>
    <w:rsid w:val="005E3B44"/>
    <w:rsid w:val="005E4C04"/>
    <w:rsid w:val="005E50AA"/>
    <w:rsid w:val="005E50C6"/>
    <w:rsid w:val="005E5349"/>
    <w:rsid w:val="005E56F5"/>
    <w:rsid w:val="005E693F"/>
    <w:rsid w:val="005E6C25"/>
    <w:rsid w:val="005E79ED"/>
    <w:rsid w:val="005E7AA4"/>
    <w:rsid w:val="005E7CA5"/>
    <w:rsid w:val="005F0FF3"/>
    <w:rsid w:val="005F144D"/>
    <w:rsid w:val="005F1496"/>
    <w:rsid w:val="005F1F28"/>
    <w:rsid w:val="005F341A"/>
    <w:rsid w:val="005F4534"/>
    <w:rsid w:val="005F52C2"/>
    <w:rsid w:val="005F5E01"/>
    <w:rsid w:val="005F7294"/>
    <w:rsid w:val="005F76E0"/>
    <w:rsid w:val="005F7CD1"/>
    <w:rsid w:val="0060069E"/>
    <w:rsid w:val="00601199"/>
    <w:rsid w:val="0060248C"/>
    <w:rsid w:val="00603260"/>
    <w:rsid w:val="006035DB"/>
    <w:rsid w:val="006039CB"/>
    <w:rsid w:val="00603A63"/>
    <w:rsid w:val="00604ADB"/>
    <w:rsid w:val="00604BAA"/>
    <w:rsid w:val="006053A3"/>
    <w:rsid w:val="00605A8A"/>
    <w:rsid w:val="00605FD4"/>
    <w:rsid w:val="00605FE8"/>
    <w:rsid w:val="00606525"/>
    <w:rsid w:val="006065A7"/>
    <w:rsid w:val="006074BF"/>
    <w:rsid w:val="00607FEA"/>
    <w:rsid w:val="00610F71"/>
    <w:rsid w:val="00611429"/>
    <w:rsid w:val="0061279D"/>
    <w:rsid w:val="00612A19"/>
    <w:rsid w:val="00612BD0"/>
    <w:rsid w:val="0061408A"/>
    <w:rsid w:val="00615476"/>
    <w:rsid w:val="00616CED"/>
    <w:rsid w:val="00616DBE"/>
    <w:rsid w:val="00616E0B"/>
    <w:rsid w:val="00617A12"/>
    <w:rsid w:val="00620194"/>
    <w:rsid w:val="00620638"/>
    <w:rsid w:val="00621C3C"/>
    <w:rsid w:val="00621F33"/>
    <w:rsid w:val="00622F77"/>
    <w:rsid w:val="006234AC"/>
    <w:rsid w:val="00623635"/>
    <w:rsid w:val="00623B28"/>
    <w:rsid w:val="00623FEF"/>
    <w:rsid w:val="00624DC8"/>
    <w:rsid w:val="0062527F"/>
    <w:rsid w:val="00625EC7"/>
    <w:rsid w:val="006268E1"/>
    <w:rsid w:val="00626E73"/>
    <w:rsid w:val="00626FDB"/>
    <w:rsid w:val="0062721D"/>
    <w:rsid w:val="006336BA"/>
    <w:rsid w:val="00633FB6"/>
    <w:rsid w:val="00635ADD"/>
    <w:rsid w:val="00635FEB"/>
    <w:rsid w:val="00636EBC"/>
    <w:rsid w:val="0063722E"/>
    <w:rsid w:val="00637376"/>
    <w:rsid w:val="00637544"/>
    <w:rsid w:val="0063775E"/>
    <w:rsid w:val="00637805"/>
    <w:rsid w:val="00637923"/>
    <w:rsid w:val="00637927"/>
    <w:rsid w:val="00640043"/>
    <w:rsid w:val="0064079F"/>
    <w:rsid w:val="00642D52"/>
    <w:rsid w:val="006437EF"/>
    <w:rsid w:val="00643A6D"/>
    <w:rsid w:val="00643FB5"/>
    <w:rsid w:val="0064489C"/>
    <w:rsid w:val="00645CDB"/>
    <w:rsid w:val="00645FF8"/>
    <w:rsid w:val="00646B58"/>
    <w:rsid w:val="00647768"/>
    <w:rsid w:val="00652235"/>
    <w:rsid w:val="0065258E"/>
    <w:rsid w:val="0065270A"/>
    <w:rsid w:val="00653240"/>
    <w:rsid w:val="00653800"/>
    <w:rsid w:val="0065412F"/>
    <w:rsid w:val="006544E9"/>
    <w:rsid w:val="0065507C"/>
    <w:rsid w:val="006550E2"/>
    <w:rsid w:val="00655631"/>
    <w:rsid w:val="006560CC"/>
    <w:rsid w:val="00656464"/>
    <w:rsid w:val="006577BE"/>
    <w:rsid w:val="0066020E"/>
    <w:rsid w:val="00661981"/>
    <w:rsid w:val="00661FAB"/>
    <w:rsid w:val="00663054"/>
    <w:rsid w:val="006637FF"/>
    <w:rsid w:val="0066523D"/>
    <w:rsid w:val="00665815"/>
    <w:rsid w:val="00665DEF"/>
    <w:rsid w:val="00667A11"/>
    <w:rsid w:val="00667A3B"/>
    <w:rsid w:val="00667C44"/>
    <w:rsid w:val="00670BB8"/>
    <w:rsid w:val="00672FB1"/>
    <w:rsid w:val="00673DF5"/>
    <w:rsid w:val="00674B09"/>
    <w:rsid w:val="00674D8C"/>
    <w:rsid w:val="006751DB"/>
    <w:rsid w:val="00675455"/>
    <w:rsid w:val="00677A08"/>
    <w:rsid w:val="00677CCB"/>
    <w:rsid w:val="00677EAB"/>
    <w:rsid w:val="00680005"/>
    <w:rsid w:val="00680B35"/>
    <w:rsid w:val="00680CDA"/>
    <w:rsid w:val="00680F2C"/>
    <w:rsid w:val="00681C7D"/>
    <w:rsid w:val="00681E47"/>
    <w:rsid w:val="00681FDA"/>
    <w:rsid w:val="00682320"/>
    <w:rsid w:val="00682385"/>
    <w:rsid w:val="00683A27"/>
    <w:rsid w:val="00684F7B"/>
    <w:rsid w:val="00685100"/>
    <w:rsid w:val="0068628A"/>
    <w:rsid w:val="0068673C"/>
    <w:rsid w:val="00686F6B"/>
    <w:rsid w:val="00687E44"/>
    <w:rsid w:val="00690447"/>
    <w:rsid w:val="00690AE8"/>
    <w:rsid w:val="00690C74"/>
    <w:rsid w:val="00690FC5"/>
    <w:rsid w:val="006922AB"/>
    <w:rsid w:val="00694561"/>
    <w:rsid w:val="00694BF7"/>
    <w:rsid w:val="00694DE7"/>
    <w:rsid w:val="00695BFD"/>
    <w:rsid w:val="006963F3"/>
    <w:rsid w:val="00696BB7"/>
    <w:rsid w:val="00696BEA"/>
    <w:rsid w:val="006A03AB"/>
    <w:rsid w:val="006A1341"/>
    <w:rsid w:val="006A189F"/>
    <w:rsid w:val="006A1903"/>
    <w:rsid w:val="006A205C"/>
    <w:rsid w:val="006A231E"/>
    <w:rsid w:val="006A28F6"/>
    <w:rsid w:val="006A2BDE"/>
    <w:rsid w:val="006A4111"/>
    <w:rsid w:val="006A4995"/>
    <w:rsid w:val="006A4AA7"/>
    <w:rsid w:val="006A4D78"/>
    <w:rsid w:val="006A569C"/>
    <w:rsid w:val="006A5CE4"/>
    <w:rsid w:val="006A6354"/>
    <w:rsid w:val="006A64A1"/>
    <w:rsid w:val="006A7D60"/>
    <w:rsid w:val="006B103E"/>
    <w:rsid w:val="006B2008"/>
    <w:rsid w:val="006B356F"/>
    <w:rsid w:val="006B536C"/>
    <w:rsid w:val="006B54B0"/>
    <w:rsid w:val="006B5BBD"/>
    <w:rsid w:val="006B5D94"/>
    <w:rsid w:val="006B7258"/>
    <w:rsid w:val="006C02BD"/>
    <w:rsid w:val="006C07CC"/>
    <w:rsid w:val="006C0FBD"/>
    <w:rsid w:val="006C12FD"/>
    <w:rsid w:val="006C16FF"/>
    <w:rsid w:val="006C1F91"/>
    <w:rsid w:val="006C1F9E"/>
    <w:rsid w:val="006C238A"/>
    <w:rsid w:val="006C2DC6"/>
    <w:rsid w:val="006C301C"/>
    <w:rsid w:val="006C3FDF"/>
    <w:rsid w:val="006C4075"/>
    <w:rsid w:val="006C436C"/>
    <w:rsid w:val="006C49C0"/>
    <w:rsid w:val="006C4FFD"/>
    <w:rsid w:val="006C6582"/>
    <w:rsid w:val="006C6FE3"/>
    <w:rsid w:val="006C7DC9"/>
    <w:rsid w:val="006D167C"/>
    <w:rsid w:val="006D2B29"/>
    <w:rsid w:val="006D3F79"/>
    <w:rsid w:val="006D4317"/>
    <w:rsid w:val="006D603F"/>
    <w:rsid w:val="006D62BA"/>
    <w:rsid w:val="006D680D"/>
    <w:rsid w:val="006D6CBE"/>
    <w:rsid w:val="006D71BD"/>
    <w:rsid w:val="006D77AC"/>
    <w:rsid w:val="006E0348"/>
    <w:rsid w:val="006E0BE7"/>
    <w:rsid w:val="006E0D2B"/>
    <w:rsid w:val="006E185D"/>
    <w:rsid w:val="006E196A"/>
    <w:rsid w:val="006E3589"/>
    <w:rsid w:val="006E4798"/>
    <w:rsid w:val="006E4CBF"/>
    <w:rsid w:val="006E5861"/>
    <w:rsid w:val="006E7402"/>
    <w:rsid w:val="006E7A61"/>
    <w:rsid w:val="006E7C7C"/>
    <w:rsid w:val="006F07B2"/>
    <w:rsid w:val="006F227A"/>
    <w:rsid w:val="006F2F86"/>
    <w:rsid w:val="006F47E2"/>
    <w:rsid w:val="006F4CEC"/>
    <w:rsid w:val="006F51AD"/>
    <w:rsid w:val="006F58F3"/>
    <w:rsid w:val="006F62CA"/>
    <w:rsid w:val="006F6F23"/>
    <w:rsid w:val="006F7863"/>
    <w:rsid w:val="007000C5"/>
    <w:rsid w:val="007011D8"/>
    <w:rsid w:val="00701641"/>
    <w:rsid w:val="0070260F"/>
    <w:rsid w:val="00702D2B"/>
    <w:rsid w:val="007031B6"/>
    <w:rsid w:val="00703FA6"/>
    <w:rsid w:val="007040DC"/>
    <w:rsid w:val="00704652"/>
    <w:rsid w:val="00704726"/>
    <w:rsid w:val="00704D09"/>
    <w:rsid w:val="007055D6"/>
    <w:rsid w:val="007056CA"/>
    <w:rsid w:val="007061D2"/>
    <w:rsid w:val="00706904"/>
    <w:rsid w:val="00706D5B"/>
    <w:rsid w:val="00706E9C"/>
    <w:rsid w:val="00706EBC"/>
    <w:rsid w:val="0070743A"/>
    <w:rsid w:val="00707839"/>
    <w:rsid w:val="00710040"/>
    <w:rsid w:val="00711528"/>
    <w:rsid w:val="00711AFE"/>
    <w:rsid w:val="00711B38"/>
    <w:rsid w:val="00711F2D"/>
    <w:rsid w:val="00711FDB"/>
    <w:rsid w:val="00712360"/>
    <w:rsid w:val="00712E22"/>
    <w:rsid w:val="00714390"/>
    <w:rsid w:val="00714BC0"/>
    <w:rsid w:val="007159D8"/>
    <w:rsid w:val="00715F9C"/>
    <w:rsid w:val="0072004F"/>
    <w:rsid w:val="00720ADA"/>
    <w:rsid w:val="007218EE"/>
    <w:rsid w:val="00721F74"/>
    <w:rsid w:val="00722031"/>
    <w:rsid w:val="00722337"/>
    <w:rsid w:val="00722B3F"/>
    <w:rsid w:val="00723124"/>
    <w:rsid w:val="00724143"/>
    <w:rsid w:val="0072444A"/>
    <w:rsid w:val="007249C6"/>
    <w:rsid w:val="00724B14"/>
    <w:rsid w:val="007251DD"/>
    <w:rsid w:val="00725F41"/>
    <w:rsid w:val="007300AA"/>
    <w:rsid w:val="0073091A"/>
    <w:rsid w:val="00731B0E"/>
    <w:rsid w:val="0073290B"/>
    <w:rsid w:val="00732F55"/>
    <w:rsid w:val="00733221"/>
    <w:rsid w:val="007335DE"/>
    <w:rsid w:val="007337B4"/>
    <w:rsid w:val="00733992"/>
    <w:rsid w:val="007352C4"/>
    <w:rsid w:val="00735EFC"/>
    <w:rsid w:val="00735F31"/>
    <w:rsid w:val="00736F82"/>
    <w:rsid w:val="00736FF2"/>
    <w:rsid w:val="0074026C"/>
    <w:rsid w:val="0074062E"/>
    <w:rsid w:val="007414FD"/>
    <w:rsid w:val="00741F55"/>
    <w:rsid w:val="00742103"/>
    <w:rsid w:val="00742E29"/>
    <w:rsid w:val="007433E6"/>
    <w:rsid w:val="00743B04"/>
    <w:rsid w:val="00744147"/>
    <w:rsid w:val="00744535"/>
    <w:rsid w:val="00744671"/>
    <w:rsid w:val="007454E7"/>
    <w:rsid w:val="00745733"/>
    <w:rsid w:val="007462D5"/>
    <w:rsid w:val="00746879"/>
    <w:rsid w:val="007500E3"/>
    <w:rsid w:val="00750867"/>
    <w:rsid w:val="00750EC9"/>
    <w:rsid w:val="00751BF5"/>
    <w:rsid w:val="007542A0"/>
    <w:rsid w:val="007543BE"/>
    <w:rsid w:val="00754F4B"/>
    <w:rsid w:val="00756C62"/>
    <w:rsid w:val="00756DDE"/>
    <w:rsid w:val="007602E8"/>
    <w:rsid w:val="00760557"/>
    <w:rsid w:val="00761B37"/>
    <w:rsid w:val="007625E7"/>
    <w:rsid w:val="007632F0"/>
    <w:rsid w:val="00763607"/>
    <w:rsid w:val="00764385"/>
    <w:rsid w:val="007647A4"/>
    <w:rsid w:val="00764803"/>
    <w:rsid w:val="007649C8"/>
    <w:rsid w:val="00764B58"/>
    <w:rsid w:val="007656D2"/>
    <w:rsid w:val="007657B5"/>
    <w:rsid w:val="00765A81"/>
    <w:rsid w:val="007661A0"/>
    <w:rsid w:val="007676E1"/>
    <w:rsid w:val="00770C94"/>
    <w:rsid w:val="00770EA5"/>
    <w:rsid w:val="007711CA"/>
    <w:rsid w:val="007711CE"/>
    <w:rsid w:val="007735BB"/>
    <w:rsid w:val="00773B0C"/>
    <w:rsid w:val="00774266"/>
    <w:rsid w:val="00775601"/>
    <w:rsid w:val="007757F9"/>
    <w:rsid w:val="00776DB8"/>
    <w:rsid w:val="00780198"/>
    <w:rsid w:val="00780CD7"/>
    <w:rsid w:val="00780D5F"/>
    <w:rsid w:val="00782407"/>
    <w:rsid w:val="007829D6"/>
    <w:rsid w:val="00782C0C"/>
    <w:rsid w:val="00783ADA"/>
    <w:rsid w:val="00783CAF"/>
    <w:rsid w:val="0078418A"/>
    <w:rsid w:val="007841A2"/>
    <w:rsid w:val="007843F2"/>
    <w:rsid w:val="00784963"/>
    <w:rsid w:val="00784DBD"/>
    <w:rsid w:val="00786673"/>
    <w:rsid w:val="00786979"/>
    <w:rsid w:val="00786F9E"/>
    <w:rsid w:val="00787049"/>
    <w:rsid w:val="00787D3A"/>
    <w:rsid w:val="00790119"/>
    <w:rsid w:val="00791183"/>
    <w:rsid w:val="0079203E"/>
    <w:rsid w:val="00794924"/>
    <w:rsid w:val="00797ED7"/>
    <w:rsid w:val="007A23C9"/>
    <w:rsid w:val="007A30F7"/>
    <w:rsid w:val="007A320D"/>
    <w:rsid w:val="007A321C"/>
    <w:rsid w:val="007A3C1F"/>
    <w:rsid w:val="007A3EF2"/>
    <w:rsid w:val="007A47ED"/>
    <w:rsid w:val="007A5ADC"/>
    <w:rsid w:val="007A60B1"/>
    <w:rsid w:val="007A628E"/>
    <w:rsid w:val="007A7143"/>
    <w:rsid w:val="007A7661"/>
    <w:rsid w:val="007A79DD"/>
    <w:rsid w:val="007A7B04"/>
    <w:rsid w:val="007B0496"/>
    <w:rsid w:val="007B1DBF"/>
    <w:rsid w:val="007B33E1"/>
    <w:rsid w:val="007B48F8"/>
    <w:rsid w:val="007B55A1"/>
    <w:rsid w:val="007B5C11"/>
    <w:rsid w:val="007B669C"/>
    <w:rsid w:val="007B6754"/>
    <w:rsid w:val="007C0183"/>
    <w:rsid w:val="007C075C"/>
    <w:rsid w:val="007C2394"/>
    <w:rsid w:val="007C2CEF"/>
    <w:rsid w:val="007C3669"/>
    <w:rsid w:val="007C3692"/>
    <w:rsid w:val="007C3B94"/>
    <w:rsid w:val="007C3CE6"/>
    <w:rsid w:val="007C42F6"/>
    <w:rsid w:val="007C454A"/>
    <w:rsid w:val="007C4614"/>
    <w:rsid w:val="007C54FF"/>
    <w:rsid w:val="007C5E7E"/>
    <w:rsid w:val="007C6A01"/>
    <w:rsid w:val="007C6B49"/>
    <w:rsid w:val="007C6FF1"/>
    <w:rsid w:val="007C7F8B"/>
    <w:rsid w:val="007D0E38"/>
    <w:rsid w:val="007D25C1"/>
    <w:rsid w:val="007D2730"/>
    <w:rsid w:val="007D2B3D"/>
    <w:rsid w:val="007D3A5A"/>
    <w:rsid w:val="007D4589"/>
    <w:rsid w:val="007D4D0C"/>
    <w:rsid w:val="007D5389"/>
    <w:rsid w:val="007D607A"/>
    <w:rsid w:val="007D669E"/>
    <w:rsid w:val="007D6BE8"/>
    <w:rsid w:val="007D741A"/>
    <w:rsid w:val="007D7790"/>
    <w:rsid w:val="007D7C73"/>
    <w:rsid w:val="007D7CFE"/>
    <w:rsid w:val="007E01E4"/>
    <w:rsid w:val="007E34FB"/>
    <w:rsid w:val="007E4964"/>
    <w:rsid w:val="007E5900"/>
    <w:rsid w:val="007E5FA2"/>
    <w:rsid w:val="007E668B"/>
    <w:rsid w:val="007E6A1B"/>
    <w:rsid w:val="007E7E9A"/>
    <w:rsid w:val="007F0B14"/>
    <w:rsid w:val="007F11B4"/>
    <w:rsid w:val="007F1E8C"/>
    <w:rsid w:val="007F38F7"/>
    <w:rsid w:val="007F48E6"/>
    <w:rsid w:val="007F4D35"/>
    <w:rsid w:val="007F4FD7"/>
    <w:rsid w:val="007F591F"/>
    <w:rsid w:val="007F5CA5"/>
    <w:rsid w:val="007F6207"/>
    <w:rsid w:val="007F6407"/>
    <w:rsid w:val="007F65BF"/>
    <w:rsid w:val="007F6C9A"/>
    <w:rsid w:val="007F7157"/>
    <w:rsid w:val="007F73E4"/>
    <w:rsid w:val="0080070C"/>
    <w:rsid w:val="00800C11"/>
    <w:rsid w:val="00800EC2"/>
    <w:rsid w:val="008011CB"/>
    <w:rsid w:val="008016C6"/>
    <w:rsid w:val="0080286E"/>
    <w:rsid w:val="00803545"/>
    <w:rsid w:val="00803CE9"/>
    <w:rsid w:val="00804040"/>
    <w:rsid w:val="0080485E"/>
    <w:rsid w:val="00805FCF"/>
    <w:rsid w:val="008109DB"/>
    <w:rsid w:val="00810EEF"/>
    <w:rsid w:val="00812F66"/>
    <w:rsid w:val="0081433C"/>
    <w:rsid w:val="00814AF4"/>
    <w:rsid w:val="00814FEF"/>
    <w:rsid w:val="008151C1"/>
    <w:rsid w:val="00816E78"/>
    <w:rsid w:val="00820BB0"/>
    <w:rsid w:val="0082200C"/>
    <w:rsid w:val="008223E9"/>
    <w:rsid w:val="008225F4"/>
    <w:rsid w:val="008228AF"/>
    <w:rsid w:val="00822E2B"/>
    <w:rsid w:val="00824CF7"/>
    <w:rsid w:val="0082523B"/>
    <w:rsid w:val="008254C3"/>
    <w:rsid w:val="00825512"/>
    <w:rsid w:val="00825988"/>
    <w:rsid w:val="00827584"/>
    <w:rsid w:val="008276EB"/>
    <w:rsid w:val="00830C49"/>
    <w:rsid w:val="00831102"/>
    <w:rsid w:val="00832354"/>
    <w:rsid w:val="00832CEA"/>
    <w:rsid w:val="00832D18"/>
    <w:rsid w:val="00833471"/>
    <w:rsid w:val="00833FD8"/>
    <w:rsid w:val="00834846"/>
    <w:rsid w:val="008351F3"/>
    <w:rsid w:val="00835548"/>
    <w:rsid w:val="00836710"/>
    <w:rsid w:val="0083763D"/>
    <w:rsid w:val="008379F9"/>
    <w:rsid w:val="0084066F"/>
    <w:rsid w:val="008415CE"/>
    <w:rsid w:val="008419E5"/>
    <w:rsid w:val="00841FC0"/>
    <w:rsid w:val="0084336B"/>
    <w:rsid w:val="0084481F"/>
    <w:rsid w:val="00844DDB"/>
    <w:rsid w:val="00844E60"/>
    <w:rsid w:val="00844EE9"/>
    <w:rsid w:val="0084592F"/>
    <w:rsid w:val="00845FBA"/>
    <w:rsid w:val="0085066B"/>
    <w:rsid w:val="00851AD6"/>
    <w:rsid w:val="00851C6F"/>
    <w:rsid w:val="00851DE7"/>
    <w:rsid w:val="0085220D"/>
    <w:rsid w:val="008528C0"/>
    <w:rsid w:val="00852B3A"/>
    <w:rsid w:val="00852E38"/>
    <w:rsid w:val="00853438"/>
    <w:rsid w:val="00853E3D"/>
    <w:rsid w:val="00854864"/>
    <w:rsid w:val="00854A73"/>
    <w:rsid w:val="00854C69"/>
    <w:rsid w:val="00855831"/>
    <w:rsid w:val="0085589D"/>
    <w:rsid w:val="00855DC1"/>
    <w:rsid w:val="00855FE7"/>
    <w:rsid w:val="00856039"/>
    <w:rsid w:val="0085622D"/>
    <w:rsid w:val="008566AD"/>
    <w:rsid w:val="008574E2"/>
    <w:rsid w:val="00857FA8"/>
    <w:rsid w:val="00861747"/>
    <w:rsid w:val="0086416B"/>
    <w:rsid w:val="0086450B"/>
    <w:rsid w:val="008646AA"/>
    <w:rsid w:val="00865114"/>
    <w:rsid w:val="00865120"/>
    <w:rsid w:val="008656B9"/>
    <w:rsid w:val="00870641"/>
    <w:rsid w:val="008712A5"/>
    <w:rsid w:val="008719BE"/>
    <w:rsid w:val="00872462"/>
    <w:rsid w:val="0087262D"/>
    <w:rsid w:val="00873656"/>
    <w:rsid w:val="008749CD"/>
    <w:rsid w:val="00876636"/>
    <w:rsid w:val="00877169"/>
    <w:rsid w:val="00877D0B"/>
    <w:rsid w:val="00877FD8"/>
    <w:rsid w:val="0088076A"/>
    <w:rsid w:val="0088176D"/>
    <w:rsid w:val="0088368B"/>
    <w:rsid w:val="008852D3"/>
    <w:rsid w:val="0088599D"/>
    <w:rsid w:val="0088659F"/>
    <w:rsid w:val="00891AC2"/>
    <w:rsid w:val="00891B7E"/>
    <w:rsid w:val="00892BA6"/>
    <w:rsid w:val="008940EA"/>
    <w:rsid w:val="00894275"/>
    <w:rsid w:val="008944D2"/>
    <w:rsid w:val="008953D1"/>
    <w:rsid w:val="00896EB5"/>
    <w:rsid w:val="008971DD"/>
    <w:rsid w:val="008974BC"/>
    <w:rsid w:val="00897849"/>
    <w:rsid w:val="00897D23"/>
    <w:rsid w:val="00897E35"/>
    <w:rsid w:val="00897E5D"/>
    <w:rsid w:val="008A0037"/>
    <w:rsid w:val="008A4044"/>
    <w:rsid w:val="008A4119"/>
    <w:rsid w:val="008A57AF"/>
    <w:rsid w:val="008A590C"/>
    <w:rsid w:val="008A5AA1"/>
    <w:rsid w:val="008A5B57"/>
    <w:rsid w:val="008A5B5F"/>
    <w:rsid w:val="008A5FB3"/>
    <w:rsid w:val="008A6305"/>
    <w:rsid w:val="008A7D62"/>
    <w:rsid w:val="008B093C"/>
    <w:rsid w:val="008B170D"/>
    <w:rsid w:val="008B198E"/>
    <w:rsid w:val="008B1B75"/>
    <w:rsid w:val="008B2F5F"/>
    <w:rsid w:val="008B36EB"/>
    <w:rsid w:val="008B428A"/>
    <w:rsid w:val="008B4713"/>
    <w:rsid w:val="008B478C"/>
    <w:rsid w:val="008B48C7"/>
    <w:rsid w:val="008B4A36"/>
    <w:rsid w:val="008B52C6"/>
    <w:rsid w:val="008B5DDB"/>
    <w:rsid w:val="008B68E3"/>
    <w:rsid w:val="008B6E71"/>
    <w:rsid w:val="008B741F"/>
    <w:rsid w:val="008B7CA6"/>
    <w:rsid w:val="008C0686"/>
    <w:rsid w:val="008C0AA9"/>
    <w:rsid w:val="008C3BB1"/>
    <w:rsid w:val="008C444A"/>
    <w:rsid w:val="008C499D"/>
    <w:rsid w:val="008C5EF6"/>
    <w:rsid w:val="008C7717"/>
    <w:rsid w:val="008D0365"/>
    <w:rsid w:val="008D4137"/>
    <w:rsid w:val="008D414C"/>
    <w:rsid w:val="008D44DE"/>
    <w:rsid w:val="008D57FD"/>
    <w:rsid w:val="008D667B"/>
    <w:rsid w:val="008D7E81"/>
    <w:rsid w:val="008E0C1B"/>
    <w:rsid w:val="008E1A28"/>
    <w:rsid w:val="008E3BBC"/>
    <w:rsid w:val="008E3C08"/>
    <w:rsid w:val="008E4546"/>
    <w:rsid w:val="008E50D5"/>
    <w:rsid w:val="008E5206"/>
    <w:rsid w:val="008E61CE"/>
    <w:rsid w:val="008E69D3"/>
    <w:rsid w:val="008E6CB6"/>
    <w:rsid w:val="008E72F4"/>
    <w:rsid w:val="008E739D"/>
    <w:rsid w:val="008E74FA"/>
    <w:rsid w:val="008E7E5E"/>
    <w:rsid w:val="008F0AA6"/>
    <w:rsid w:val="008F1D20"/>
    <w:rsid w:val="008F27B9"/>
    <w:rsid w:val="008F385F"/>
    <w:rsid w:val="008F3F6C"/>
    <w:rsid w:val="008F5278"/>
    <w:rsid w:val="008F5312"/>
    <w:rsid w:val="008F60A6"/>
    <w:rsid w:val="008F6465"/>
    <w:rsid w:val="008F7A55"/>
    <w:rsid w:val="00901189"/>
    <w:rsid w:val="0090142B"/>
    <w:rsid w:val="00901709"/>
    <w:rsid w:val="00901F2E"/>
    <w:rsid w:val="00902878"/>
    <w:rsid w:val="00902AF7"/>
    <w:rsid w:val="00902EB5"/>
    <w:rsid w:val="00903131"/>
    <w:rsid w:val="009031F6"/>
    <w:rsid w:val="00903FD1"/>
    <w:rsid w:val="0090589D"/>
    <w:rsid w:val="009068BD"/>
    <w:rsid w:val="0090698E"/>
    <w:rsid w:val="00907875"/>
    <w:rsid w:val="009105AE"/>
    <w:rsid w:val="00910C46"/>
    <w:rsid w:val="00911502"/>
    <w:rsid w:val="00911985"/>
    <w:rsid w:val="00914771"/>
    <w:rsid w:val="009148AA"/>
    <w:rsid w:val="00914DE0"/>
    <w:rsid w:val="00914E93"/>
    <w:rsid w:val="00915509"/>
    <w:rsid w:val="0091553A"/>
    <w:rsid w:val="00915B95"/>
    <w:rsid w:val="00915F7E"/>
    <w:rsid w:val="009174FB"/>
    <w:rsid w:val="00920869"/>
    <w:rsid w:val="009222A5"/>
    <w:rsid w:val="0092234B"/>
    <w:rsid w:val="009225FF"/>
    <w:rsid w:val="00922D92"/>
    <w:rsid w:val="00923A79"/>
    <w:rsid w:val="009254A7"/>
    <w:rsid w:val="00925F82"/>
    <w:rsid w:val="00926242"/>
    <w:rsid w:val="00926433"/>
    <w:rsid w:val="0092715B"/>
    <w:rsid w:val="009273E9"/>
    <w:rsid w:val="0092779F"/>
    <w:rsid w:val="0092780D"/>
    <w:rsid w:val="009279E0"/>
    <w:rsid w:val="00927D59"/>
    <w:rsid w:val="009302E0"/>
    <w:rsid w:val="00931066"/>
    <w:rsid w:val="00931C8F"/>
    <w:rsid w:val="00932519"/>
    <w:rsid w:val="009363BC"/>
    <w:rsid w:val="009420D1"/>
    <w:rsid w:val="00943143"/>
    <w:rsid w:val="00943684"/>
    <w:rsid w:val="00943D1A"/>
    <w:rsid w:val="00943D70"/>
    <w:rsid w:val="009452DD"/>
    <w:rsid w:val="00945302"/>
    <w:rsid w:val="00945474"/>
    <w:rsid w:val="009454C3"/>
    <w:rsid w:val="00945ECD"/>
    <w:rsid w:val="00946C04"/>
    <w:rsid w:val="00947A00"/>
    <w:rsid w:val="0095029F"/>
    <w:rsid w:val="009508C1"/>
    <w:rsid w:val="009509C6"/>
    <w:rsid w:val="0095109F"/>
    <w:rsid w:val="009512BF"/>
    <w:rsid w:val="0095138E"/>
    <w:rsid w:val="00952120"/>
    <w:rsid w:val="00954249"/>
    <w:rsid w:val="00954F03"/>
    <w:rsid w:val="0095594D"/>
    <w:rsid w:val="00955F3C"/>
    <w:rsid w:val="00956E9B"/>
    <w:rsid w:val="009579D8"/>
    <w:rsid w:val="00957B79"/>
    <w:rsid w:val="00961463"/>
    <w:rsid w:val="00961584"/>
    <w:rsid w:val="00961643"/>
    <w:rsid w:val="00962D55"/>
    <w:rsid w:val="00962E5C"/>
    <w:rsid w:val="0096334B"/>
    <w:rsid w:val="00963927"/>
    <w:rsid w:val="00963A98"/>
    <w:rsid w:val="00963BB1"/>
    <w:rsid w:val="00964A18"/>
    <w:rsid w:val="00964AE1"/>
    <w:rsid w:val="00964ECD"/>
    <w:rsid w:val="00964F63"/>
    <w:rsid w:val="0096512B"/>
    <w:rsid w:val="009657D4"/>
    <w:rsid w:val="00966593"/>
    <w:rsid w:val="009704B0"/>
    <w:rsid w:val="009706FF"/>
    <w:rsid w:val="00970C86"/>
    <w:rsid w:val="00971DBD"/>
    <w:rsid w:val="0097321F"/>
    <w:rsid w:val="00973B9C"/>
    <w:rsid w:val="009744F4"/>
    <w:rsid w:val="009747D4"/>
    <w:rsid w:val="00975C73"/>
    <w:rsid w:val="009762D9"/>
    <w:rsid w:val="00976618"/>
    <w:rsid w:val="00980668"/>
    <w:rsid w:val="00980856"/>
    <w:rsid w:val="009819EF"/>
    <w:rsid w:val="00981FFD"/>
    <w:rsid w:val="00982E2C"/>
    <w:rsid w:val="00984D8B"/>
    <w:rsid w:val="00985088"/>
    <w:rsid w:val="0098538E"/>
    <w:rsid w:val="00985953"/>
    <w:rsid w:val="00985E8C"/>
    <w:rsid w:val="009863CC"/>
    <w:rsid w:val="00987408"/>
    <w:rsid w:val="00987F7F"/>
    <w:rsid w:val="009910D0"/>
    <w:rsid w:val="009917C3"/>
    <w:rsid w:val="00991C15"/>
    <w:rsid w:val="00992A6D"/>
    <w:rsid w:val="009930BA"/>
    <w:rsid w:val="00993332"/>
    <w:rsid w:val="00994F8C"/>
    <w:rsid w:val="009956B5"/>
    <w:rsid w:val="00995C14"/>
    <w:rsid w:val="00995D32"/>
    <w:rsid w:val="0099681A"/>
    <w:rsid w:val="00996D50"/>
    <w:rsid w:val="00996ECE"/>
    <w:rsid w:val="00996F68"/>
    <w:rsid w:val="0099761F"/>
    <w:rsid w:val="00997C9B"/>
    <w:rsid w:val="009A0087"/>
    <w:rsid w:val="009A031D"/>
    <w:rsid w:val="009A1A8A"/>
    <w:rsid w:val="009A2243"/>
    <w:rsid w:val="009A2941"/>
    <w:rsid w:val="009A2A4B"/>
    <w:rsid w:val="009A3D6E"/>
    <w:rsid w:val="009A4C08"/>
    <w:rsid w:val="009A500D"/>
    <w:rsid w:val="009A52F5"/>
    <w:rsid w:val="009A6FF6"/>
    <w:rsid w:val="009A7018"/>
    <w:rsid w:val="009B08B6"/>
    <w:rsid w:val="009B1E5A"/>
    <w:rsid w:val="009B3EE1"/>
    <w:rsid w:val="009B43DF"/>
    <w:rsid w:val="009B4A5F"/>
    <w:rsid w:val="009B60C2"/>
    <w:rsid w:val="009B698D"/>
    <w:rsid w:val="009B7895"/>
    <w:rsid w:val="009B7B39"/>
    <w:rsid w:val="009B7DF4"/>
    <w:rsid w:val="009B7EB6"/>
    <w:rsid w:val="009C0532"/>
    <w:rsid w:val="009C071D"/>
    <w:rsid w:val="009C14C8"/>
    <w:rsid w:val="009C23B4"/>
    <w:rsid w:val="009C2703"/>
    <w:rsid w:val="009C2CBC"/>
    <w:rsid w:val="009C38F2"/>
    <w:rsid w:val="009C3A19"/>
    <w:rsid w:val="009C3E96"/>
    <w:rsid w:val="009C506B"/>
    <w:rsid w:val="009C5688"/>
    <w:rsid w:val="009C65BE"/>
    <w:rsid w:val="009C7574"/>
    <w:rsid w:val="009D019A"/>
    <w:rsid w:val="009D01E9"/>
    <w:rsid w:val="009D074B"/>
    <w:rsid w:val="009D087F"/>
    <w:rsid w:val="009D151F"/>
    <w:rsid w:val="009D1DCB"/>
    <w:rsid w:val="009D1FA1"/>
    <w:rsid w:val="009D21D7"/>
    <w:rsid w:val="009D302A"/>
    <w:rsid w:val="009D3508"/>
    <w:rsid w:val="009D4D0D"/>
    <w:rsid w:val="009D522C"/>
    <w:rsid w:val="009D57F4"/>
    <w:rsid w:val="009D5A41"/>
    <w:rsid w:val="009D5F07"/>
    <w:rsid w:val="009D6213"/>
    <w:rsid w:val="009D6F29"/>
    <w:rsid w:val="009D7235"/>
    <w:rsid w:val="009D75B7"/>
    <w:rsid w:val="009D7D90"/>
    <w:rsid w:val="009D7FE2"/>
    <w:rsid w:val="009E0281"/>
    <w:rsid w:val="009E05C7"/>
    <w:rsid w:val="009E1045"/>
    <w:rsid w:val="009E1518"/>
    <w:rsid w:val="009E1DCD"/>
    <w:rsid w:val="009E310D"/>
    <w:rsid w:val="009E3DFD"/>
    <w:rsid w:val="009E408E"/>
    <w:rsid w:val="009E5C7D"/>
    <w:rsid w:val="009F00C1"/>
    <w:rsid w:val="009F093B"/>
    <w:rsid w:val="009F22DD"/>
    <w:rsid w:val="009F26C1"/>
    <w:rsid w:val="009F2AEB"/>
    <w:rsid w:val="009F41AD"/>
    <w:rsid w:val="009F4B7C"/>
    <w:rsid w:val="009F5808"/>
    <w:rsid w:val="009F6037"/>
    <w:rsid w:val="009F6895"/>
    <w:rsid w:val="009F6A7B"/>
    <w:rsid w:val="009F731D"/>
    <w:rsid w:val="009F75BA"/>
    <w:rsid w:val="009F77F1"/>
    <w:rsid w:val="009F7CEE"/>
    <w:rsid w:val="009F7E4A"/>
    <w:rsid w:val="00A01F98"/>
    <w:rsid w:val="00A02D33"/>
    <w:rsid w:val="00A0396A"/>
    <w:rsid w:val="00A04358"/>
    <w:rsid w:val="00A043CD"/>
    <w:rsid w:val="00A04F64"/>
    <w:rsid w:val="00A050E6"/>
    <w:rsid w:val="00A06202"/>
    <w:rsid w:val="00A07FC1"/>
    <w:rsid w:val="00A10876"/>
    <w:rsid w:val="00A10990"/>
    <w:rsid w:val="00A10C25"/>
    <w:rsid w:val="00A10CD3"/>
    <w:rsid w:val="00A11C98"/>
    <w:rsid w:val="00A11EEF"/>
    <w:rsid w:val="00A132B6"/>
    <w:rsid w:val="00A13585"/>
    <w:rsid w:val="00A146C4"/>
    <w:rsid w:val="00A15018"/>
    <w:rsid w:val="00A15183"/>
    <w:rsid w:val="00A156E3"/>
    <w:rsid w:val="00A16707"/>
    <w:rsid w:val="00A177B2"/>
    <w:rsid w:val="00A212AE"/>
    <w:rsid w:val="00A21786"/>
    <w:rsid w:val="00A21CD9"/>
    <w:rsid w:val="00A221F8"/>
    <w:rsid w:val="00A225F3"/>
    <w:rsid w:val="00A2276B"/>
    <w:rsid w:val="00A23588"/>
    <w:rsid w:val="00A23984"/>
    <w:rsid w:val="00A24018"/>
    <w:rsid w:val="00A24C92"/>
    <w:rsid w:val="00A25920"/>
    <w:rsid w:val="00A25EA1"/>
    <w:rsid w:val="00A26028"/>
    <w:rsid w:val="00A268F5"/>
    <w:rsid w:val="00A26F48"/>
    <w:rsid w:val="00A279B1"/>
    <w:rsid w:val="00A327C5"/>
    <w:rsid w:val="00A34B86"/>
    <w:rsid w:val="00A35BC1"/>
    <w:rsid w:val="00A362CF"/>
    <w:rsid w:val="00A363E3"/>
    <w:rsid w:val="00A3730D"/>
    <w:rsid w:val="00A37F3B"/>
    <w:rsid w:val="00A40C8A"/>
    <w:rsid w:val="00A40D35"/>
    <w:rsid w:val="00A41595"/>
    <w:rsid w:val="00A41BCD"/>
    <w:rsid w:val="00A4234C"/>
    <w:rsid w:val="00A425DA"/>
    <w:rsid w:val="00A42FD5"/>
    <w:rsid w:val="00A43360"/>
    <w:rsid w:val="00A438B0"/>
    <w:rsid w:val="00A43FC2"/>
    <w:rsid w:val="00A44038"/>
    <w:rsid w:val="00A44C57"/>
    <w:rsid w:val="00A45390"/>
    <w:rsid w:val="00A456C8"/>
    <w:rsid w:val="00A45849"/>
    <w:rsid w:val="00A46F71"/>
    <w:rsid w:val="00A470AA"/>
    <w:rsid w:val="00A47351"/>
    <w:rsid w:val="00A50BD3"/>
    <w:rsid w:val="00A50C35"/>
    <w:rsid w:val="00A50FE2"/>
    <w:rsid w:val="00A5110F"/>
    <w:rsid w:val="00A52590"/>
    <w:rsid w:val="00A53CA2"/>
    <w:rsid w:val="00A54AD0"/>
    <w:rsid w:val="00A54F60"/>
    <w:rsid w:val="00A5560C"/>
    <w:rsid w:val="00A56F55"/>
    <w:rsid w:val="00A605D7"/>
    <w:rsid w:val="00A615E1"/>
    <w:rsid w:val="00A61609"/>
    <w:rsid w:val="00A61CCF"/>
    <w:rsid w:val="00A61E8A"/>
    <w:rsid w:val="00A62AB2"/>
    <w:rsid w:val="00A6319B"/>
    <w:rsid w:val="00A63C94"/>
    <w:rsid w:val="00A64A8F"/>
    <w:rsid w:val="00A64FED"/>
    <w:rsid w:val="00A65CC5"/>
    <w:rsid w:val="00A667D4"/>
    <w:rsid w:val="00A66A7A"/>
    <w:rsid w:val="00A66F91"/>
    <w:rsid w:val="00A67278"/>
    <w:rsid w:val="00A67D69"/>
    <w:rsid w:val="00A7082D"/>
    <w:rsid w:val="00A720F4"/>
    <w:rsid w:val="00A72CB8"/>
    <w:rsid w:val="00A7400D"/>
    <w:rsid w:val="00A7604D"/>
    <w:rsid w:val="00A7618A"/>
    <w:rsid w:val="00A766DE"/>
    <w:rsid w:val="00A80B5F"/>
    <w:rsid w:val="00A81FC2"/>
    <w:rsid w:val="00A81FC6"/>
    <w:rsid w:val="00A82BC2"/>
    <w:rsid w:val="00A82EF3"/>
    <w:rsid w:val="00A83AAE"/>
    <w:rsid w:val="00A83C75"/>
    <w:rsid w:val="00A84DEC"/>
    <w:rsid w:val="00A85855"/>
    <w:rsid w:val="00A8639E"/>
    <w:rsid w:val="00A875AB"/>
    <w:rsid w:val="00A9065B"/>
    <w:rsid w:val="00A9172A"/>
    <w:rsid w:val="00A9208C"/>
    <w:rsid w:val="00A928F2"/>
    <w:rsid w:val="00A93C96"/>
    <w:rsid w:val="00A93DCC"/>
    <w:rsid w:val="00A93EE2"/>
    <w:rsid w:val="00A9659B"/>
    <w:rsid w:val="00A96A2D"/>
    <w:rsid w:val="00AA0061"/>
    <w:rsid w:val="00AA0838"/>
    <w:rsid w:val="00AA085E"/>
    <w:rsid w:val="00AA1101"/>
    <w:rsid w:val="00AA1B93"/>
    <w:rsid w:val="00AA1ED6"/>
    <w:rsid w:val="00AA2258"/>
    <w:rsid w:val="00AA2F5C"/>
    <w:rsid w:val="00AA3E7D"/>
    <w:rsid w:val="00AA483B"/>
    <w:rsid w:val="00AA4EFA"/>
    <w:rsid w:val="00AA5BFE"/>
    <w:rsid w:val="00AA64F0"/>
    <w:rsid w:val="00AA6584"/>
    <w:rsid w:val="00AA689D"/>
    <w:rsid w:val="00AA6CAE"/>
    <w:rsid w:val="00AA763F"/>
    <w:rsid w:val="00AB0A7B"/>
    <w:rsid w:val="00AB263F"/>
    <w:rsid w:val="00AB2811"/>
    <w:rsid w:val="00AB35AC"/>
    <w:rsid w:val="00AB3F36"/>
    <w:rsid w:val="00AB5FD1"/>
    <w:rsid w:val="00AB6FF4"/>
    <w:rsid w:val="00AB7519"/>
    <w:rsid w:val="00AC1B3C"/>
    <w:rsid w:val="00AC3644"/>
    <w:rsid w:val="00AC386C"/>
    <w:rsid w:val="00AC56A0"/>
    <w:rsid w:val="00AC57C3"/>
    <w:rsid w:val="00AC5BFA"/>
    <w:rsid w:val="00AC6177"/>
    <w:rsid w:val="00AC64CE"/>
    <w:rsid w:val="00AC725B"/>
    <w:rsid w:val="00AD0357"/>
    <w:rsid w:val="00AD1741"/>
    <w:rsid w:val="00AD31F0"/>
    <w:rsid w:val="00AD3AB3"/>
    <w:rsid w:val="00AD442A"/>
    <w:rsid w:val="00AD4A00"/>
    <w:rsid w:val="00AD6B9E"/>
    <w:rsid w:val="00AD6C24"/>
    <w:rsid w:val="00AD6E9E"/>
    <w:rsid w:val="00AD759D"/>
    <w:rsid w:val="00AE0517"/>
    <w:rsid w:val="00AE1490"/>
    <w:rsid w:val="00AE21CB"/>
    <w:rsid w:val="00AE44B2"/>
    <w:rsid w:val="00AE4C87"/>
    <w:rsid w:val="00AE4C90"/>
    <w:rsid w:val="00AE523B"/>
    <w:rsid w:val="00AE6D0E"/>
    <w:rsid w:val="00AF0BCC"/>
    <w:rsid w:val="00AF10D0"/>
    <w:rsid w:val="00AF1ACC"/>
    <w:rsid w:val="00AF210C"/>
    <w:rsid w:val="00AF2208"/>
    <w:rsid w:val="00AF33DB"/>
    <w:rsid w:val="00AF3B21"/>
    <w:rsid w:val="00AF457D"/>
    <w:rsid w:val="00AF4816"/>
    <w:rsid w:val="00AF5EF2"/>
    <w:rsid w:val="00AF5F04"/>
    <w:rsid w:val="00AF677B"/>
    <w:rsid w:val="00AF6C17"/>
    <w:rsid w:val="00AF7142"/>
    <w:rsid w:val="00AF7224"/>
    <w:rsid w:val="00B00445"/>
    <w:rsid w:val="00B00447"/>
    <w:rsid w:val="00B00B1D"/>
    <w:rsid w:val="00B01225"/>
    <w:rsid w:val="00B01F34"/>
    <w:rsid w:val="00B01F96"/>
    <w:rsid w:val="00B022DB"/>
    <w:rsid w:val="00B037EB"/>
    <w:rsid w:val="00B03C54"/>
    <w:rsid w:val="00B04041"/>
    <w:rsid w:val="00B04FD5"/>
    <w:rsid w:val="00B050F9"/>
    <w:rsid w:val="00B05397"/>
    <w:rsid w:val="00B07331"/>
    <w:rsid w:val="00B07E58"/>
    <w:rsid w:val="00B10426"/>
    <w:rsid w:val="00B10829"/>
    <w:rsid w:val="00B10DD1"/>
    <w:rsid w:val="00B11424"/>
    <w:rsid w:val="00B119CA"/>
    <w:rsid w:val="00B11B1D"/>
    <w:rsid w:val="00B11BF7"/>
    <w:rsid w:val="00B11D14"/>
    <w:rsid w:val="00B11E89"/>
    <w:rsid w:val="00B137B3"/>
    <w:rsid w:val="00B1405B"/>
    <w:rsid w:val="00B14680"/>
    <w:rsid w:val="00B1477B"/>
    <w:rsid w:val="00B15394"/>
    <w:rsid w:val="00B15F90"/>
    <w:rsid w:val="00B1762F"/>
    <w:rsid w:val="00B2103B"/>
    <w:rsid w:val="00B21A9F"/>
    <w:rsid w:val="00B21ADF"/>
    <w:rsid w:val="00B21B12"/>
    <w:rsid w:val="00B220D6"/>
    <w:rsid w:val="00B22105"/>
    <w:rsid w:val="00B222C1"/>
    <w:rsid w:val="00B23CF1"/>
    <w:rsid w:val="00B23F84"/>
    <w:rsid w:val="00B25C62"/>
    <w:rsid w:val="00B2711F"/>
    <w:rsid w:val="00B271AC"/>
    <w:rsid w:val="00B272AD"/>
    <w:rsid w:val="00B27FFA"/>
    <w:rsid w:val="00B30792"/>
    <w:rsid w:val="00B307A1"/>
    <w:rsid w:val="00B309CA"/>
    <w:rsid w:val="00B3239B"/>
    <w:rsid w:val="00B3297F"/>
    <w:rsid w:val="00B33BA1"/>
    <w:rsid w:val="00B35026"/>
    <w:rsid w:val="00B3750A"/>
    <w:rsid w:val="00B37AE6"/>
    <w:rsid w:val="00B401AA"/>
    <w:rsid w:val="00B40978"/>
    <w:rsid w:val="00B40CC2"/>
    <w:rsid w:val="00B413B0"/>
    <w:rsid w:val="00B4155D"/>
    <w:rsid w:val="00B434AF"/>
    <w:rsid w:val="00B435C3"/>
    <w:rsid w:val="00B44405"/>
    <w:rsid w:val="00B450EF"/>
    <w:rsid w:val="00B45459"/>
    <w:rsid w:val="00B45C25"/>
    <w:rsid w:val="00B46891"/>
    <w:rsid w:val="00B47388"/>
    <w:rsid w:val="00B4745F"/>
    <w:rsid w:val="00B509F5"/>
    <w:rsid w:val="00B51F64"/>
    <w:rsid w:val="00B5317D"/>
    <w:rsid w:val="00B53287"/>
    <w:rsid w:val="00B54F3D"/>
    <w:rsid w:val="00B55026"/>
    <w:rsid w:val="00B5521F"/>
    <w:rsid w:val="00B555F5"/>
    <w:rsid w:val="00B55E04"/>
    <w:rsid w:val="00B568F6"/>
    <w:rsid w:val="00B56C38"/>
    <w:rsid w:val="00B56C66"/>
    <w:rsid w:val="00B57849"/>
    <w:rsid w:val="00B578C8"/>
    <w:rsid w:val="00B6186C"/>
    <w:rsid w:val="00B62AD2"/>
    <w:rsid w:val="00B631BD"/>
    <w:rsid w:val="00B63337"/>
    <w:rsid w:val="00B64796"/>
    <w:rsid w:val="00B6502B"/>
    <w:rsid w:val="00B65D37"/>
    <w:rsid w:val="00B6640B"/>
    <w:rsid w:val="00B66EF5"/>
    <w:rsid w:val="00B66FD6"/>
    <w:rsid w:val="00B6708A"/>
    <w:rsid w:val="00B67F35"/>
    <w:rsid w:val="00B70662"/>
    <w:rsid w:val="00B70B3C"/>
    <w:rsid w:val="00B70ED8"/>
    <w:rsid w:val="00B71B15"/>
    <w:rsid w:val="00B724D2"/>
    <w:rsid w:val="00B7267B"/>
    <w:rsid w:val="00B73595"/>
    <w:rsid w:val="00B74146"/>
    <w:rsid w:val="00B74177"/>
    <w:rsid w:val="00B74275"/>
    <w:rsid w:val="00B748B6"/>
    <w:rsid w:val="00B75E8A"/>
    <w:rsid w:val="00B76E15"/>
    <w:rsid w:val="00B77468"/>
    <w:rsid w:val="00B802C6"/>
    <w:rsid w:val="00B80EBC"/>
    <w:rsid w:val="00B811D4"/>
    <w:rsid w:val="00B81A24"/>
    <w:rsid w:val="00B81C78"/>
    <w:rsid w:val="00B849D8"/>
    <w:rsid w:val="00B84A33"/>
    <w:rsid w:val="00B855B7"/>
    <w:rsid w:val="00B8657C"/>
    <w:rsid w:val="00B865C7"/>
    <w:rsid w:val="00B86656"/>
    <w:rsid w:val="00B8696D"/>
    <w:rsid w:val="00B875FF"/>
    <w:rsid w:val="00B87EE8"/>
    <w:rsid w:val="00B902E4"/>
    <w:rsid w:val="00B9086B"/>
    <w:rsid w:val="00B91003"/>
    <w:rsid w:val="00B91EB7"/>
    <w:rsid w:val="00B924BC"/>
    <w:rsid w:val="00B949E1"/>
    <w:rsid w:val="00B95019"/>
    <w:rsid w:val="00B954CF"/>
    <w:rsid w:val="00B957B7"/>
    <w:rsid w:val="00B96D9A"/>
    <w:rsid w:val="00B970AF"/>
    <w:rsid w:val="00B975CF"/>
    <w:rsid w:val="00BA142C"/>
    <w:rsid w:val="00BA349F"/>
    <w:rsid w:val="00BA4710"/>
    <w:rsid w:val="00BA59F0"/>
    <w:rsid w:val="00BA7108"/>
    <w:rsid w:val="00BA7515"/>
    <w:rsid w:val="00BA799E"/>
    <w:rsid w:val="00BB03F8"/>
    <w:rsid w:val="00BB22DC"/>
    <w:rsid w:val="00BB234B"/>
    <w:rsid w:val="00BB278B"/>
    <w:rsid w:val="00BB2A6D"/>
    <w:rsid w:val="00BB2D89"/>
    <w:rsid w:val="00BB2FA9"/>
    <w:rsid w:val="00BB3400"/>
    <w:rsid w:val="00BB432A"/>
    <w:rsid w:val="00BB437B"/>
    <w:rsid w:val="00BB43E4"/>
    <w:rsid w:val="00BB45D6"/>
    <w:rsid w:val="00BB4C78"/>
    <w:rsid w:val="00BB5BC4"/>
    <w:rsid w:val="00BB6EA3"/>
    <w:rsid w:val="00BB7425"/>
    <w:rsid w:val="00BB74ED"/>
    <w:rsid w:val="00BB7BA8"/>
    <w:rsid w:val="00BC000B"/>
    <w:rsid w:val="00BC0F87"/>
    <w:rsid w:val="00BC2A75"/>
    <w:rsid w:val="00BC2AE4"/>
    <w:rsid w:val="00BC36E1"/>
    <w:rsid w:val="00BC3BEE"/>
    <w:rsid w:val="00BC3E43"/>
    <w:rsid w:val="00BC5288"/>
    <w:rsid w:val="00BC5573"/>
    <w:rsid w:val="00BC58EE"/>
    <w:rsid w:val="00BC5B4C"/>
    <w:rsid w:val="00BC64E6"/>
    <w:rsid w:val="00BC7892"/>
    <w:rsid w:val="00BD080A"/>
    <w:rsid w:val="00BD1BE1"/>
    <w:rsid w:val="00BD1C97"/>
    <w:rsid w:val="00BD1EA0"/>
    <w:rsid w:val="00BD2A58"/>
    <w:rsid w:val="00BD3F09"/>
    <w:rsid w:val="00BD426D"/>
    <w:rsid w:val="00BD59EC"/>
    <w:rsid w:val="00BD67E8"/>
    <w:rsid w:val="00BD6E4C"/>
    <w:rsid w:val="00BE08A6"/>
    <w:rsid w:val="00BE0937"/>
    <w:rsid w:val="00BE2579"/>
    <w:rsid w:val="00BE2A03"/>
    <w:rsid w:val="00BE2BD4"/>
    <w:rsid w:val="00BE3332"/>
    <w:rsid w:val="00BE33FE"/>
    <w:rsid w:val="00BE357E"/>
    <w:rsid w:val="00BE6654"/>
    <w:rsid w:val="00BE6D43"/>
    <w:rsid w:val="00BE768B"/>
    <w:rsid w:val="00BF0A20"/>
    <w:rsid w:val="00BF0AA1"/>
    <w:rsid w:val="00BF173C"/>
    <w:rsid w:val="00BF5245"/>
    <w:rsid w:val="00BF65E4"/>
    <w:rsid w:val="00BF733B"/>
    <w:rsid w:val="00BF7509"/>
    <w:rsid w:val="00BF7612"/>
    <w:rsid w:val="00BF7683"/>
    <w:rsid w:val="00BF770C"/>
    <w:rsid w:val="00C00414"/>
    <w:rsid w:val="00C013B5"/>
    <w:rsid w:val="00C0209B"/>
    <w:rsid w:val="00C02489"/>
    <w:rsid w:val="00C03C45"/>
    <w:rsid w:val="00C040C5"/>
    <w:rsid w:val="00C044C2"/>
    <w:rsid w:val="00C04EDD"/>
    <w:rsid w:val="00C05A1D"/>
    <w:rsid w:val="00C07076"/>
    <w:rsid w:val="00C07634"/>
    <w:rsid w:val="00C07BC8"/>
    <w:rsid w:val="00C10B87"/>
    <w:rsid w:val="00C10FD5"/>
    <w:rsid w:val="00C12383"/>
    <w:rsid w:val="00C137D2"/>
    <w:rsid w:val="00C14973"/>
    <w:rsid w:val="00C15197"/>
    <w:rsid w:val="00C15304"/>
    <w:rsid w:val="00C15376"/>
    <w:rsid w:val="00C157F4"/>
    <w:rsid w:val="00C15B0D"/>
    <w:rsid w:val="00C16EAC"/>
    <w:rsid w:val="00C17161"/>
    <w:rsid w:val="00C173A1"/>
    <w:rsid w:val="00C174B5"/>
    <w:rsid w:val="00C17B21"/>
    <w:rsid w:val="00C17D95"/>
    <w:rsid w:val="00C17FC8"/>
    <w:rsid w:val="00C200A3"/>
    <w:rsid w:val="00C21001"/>
    <w:rsid w:val="00C22213"/>
    <w:rsid w:val="00C22269"/>
    <w:rsid w:val="00C22EB8"/>
    <w:rsid w:val="00C243D7"/>
    <w:rsid w:val="00C25508"/>
    <w:rsid w:val="00C2554F"/>
    <w:rsid w:val="00C25ED9"/>
    <w:rsid w:val="00C260BE"/>
    <w:rsid w:val="00C26E87"/>
    <w:rsid w:val="00C271B4"/>
    <w:rsid w:val="00C27989"/>
    <w:rsid w:val="00C30A69"/>
    <w:rsid w:val="00C31617"/>
    <w:rsid w:val="00C32397"/>
    <w:rsid w:val="00C3265B"/>
    <w:rsid w:val="00C32E6B"/>
    <w:rsid w:val="00C34431"/>
    <w:rsid w:val="00C34DFE"/>
    <w:rsid w:val="00C35E68"/>
    <w:rsid w:val="00C36469"/>
    <w:rsid w:val="00C36B71"/>
    <w:rsid w:val="00C373F7"/>
    <w:rsid w:val="00C376FC"/>
    <w:rsid w:val="00C37E0D"/>
    <w:rsid w:val="00C37FF0"/>
    <w:rsid w:val="00C410A9"/>
    <w:rsid w:val="00C41DBA"/>
    <w:rsid w:val="00C41DEB"/>
    <w:rsid w:val="00C4271B"/>
    <w:rsid w:val="00C42CF6"/>
    <w:rsid w:val="00C43903"/>
    <w:rsid w:val="00C43A45"/>
    <w:rsid w:val="00C43E45"/>
    <w:rsid w:val="00C44466"/>
    <w:rsid w:val="00C44D08"/>
    <w:rsid w:val="00C45F20"/>
    <w:rsid w:val="00C45FC2"/>
    <w:rsid w:val="00C46276"/>
    <w:rsid w:val="00C46C50"/>
    <w:rsid w:val="00C472C8"/>
    <w:rsid w:val="00C502B8"/>
    <w:rsid w:val="00C5036C"/>
    <w:rsid w:val="00C52611"/>
    <w:rsid w:val="00C52A65"/>
    <w:rsid w:val="00C53509"/>
    <w:rsid w:val="00C53870"/>
    <w:rsid w:val="00C542E0"/>
    <w:rsid w:val="00C548C6"/>
    <w:rsid w:val="00C5579E"/>
    <w:rsid w:val="00C55E05"/>
    <w:rsid w:val="00C56C94"/>
    <w:rsid w:val="00C57226"/>
    <w:rsid w:val="00C57578"/>
    <w:rsid w:val="00C60EB9"/>
    <w:rsid w:val="00C61AAC"/>
    <w:rsid w:val="00C62251"/>
    <w:rsid w:val="00C64BD4"/>
    <w:rsid w:val="00C6794F"/>
    <w:rsid w:val="00C67CBD"/>
    <w:rsid w:val="00C67D9F"/>
    <w:rsid w:val="00C70EBF"/>
    <w:rsid w:val="00C71CC7"/>
    <w:rsid w:val="00C72315"/>
    <w:rsid w:val="00C72635"/>
    <w:rsid w:val="00C7288A"/>
    <w:rsid w:val="00C7380A"/>
    <w:rsid w:val="00C738A8"/>
    <w:rsid w:val="00C73F4D"/>
    <w:rsid w:val="00C747CB"/>
    <w:rsid w:val="00C7480C"/>
    <w:rsid w:val="00C74DD2"/>
    <w:rsid w:val="00C75038"/>
    <w:rsid w:val="00C75F8C"/>
    <w:rsid w:val="00C774D1"/>
    <w:rsid w:val="00C77C0A"/>
    <w:rsid w:val="00C77CC6"/>
    <w:rsid w:val="00C77F06"/>
    <w:rsid w:val="00C81379"/>
    <w:rsid w:val="00C81B56"/>
    <w:rsid w:val="00C8243E"/>
    <w:rsid w:val="00C8287C"/>
    <w:rsid w:val="00C842E0"/>
    <w:rsid w:val="00C84F70"/>
    <w:rsid w:val="00C85CBB"/>
    <w:rsid w:val="00C8615E"/>
    <w:rsid w:val="00C86CD8"/>
    <w:rsid w:val="00C87141"/>
    <w:rsid w:val="00C8766C"/>
    <w:rsid w:val="00C91410"/>
    <w:rsid w:val="00C9228D"/>
    <w:rsid w:val="00C92F9C"/>
    <w:rsid w:val="00C931A1"/>
    <w:rsid w:val="00C95390"/>
    <w:rsid w:val="00C9754D"/>
    <w:rsid w:val="00C9787F"/>
    <w:rsid w:val="00CA0577"/>
    <w:rsid w:val="00CA0704"/>
    <w:rsid w:val="00CA0766"/>
    <w:rsid w:val="00CA07A6"/>
    <w:rsid w:val="00CA171A"/>
    <w:rsid w:val="00CA185D"/>
    <w:rsid w:val="00CA2387"/>
    <w:rsid w:val="00CA270C"/>
    <w:rsid w:val="00CA3CDB"/>
    <w:rsid w:val="00CA4F4A"/>
    <w:rsid w:val="00CA530E"/>
    <w:rsid w:val="00CA534E"/>
    <w:rsid w:val="00CA5E96"/>
    <w:rsid w:val="00CA7A75"/>
    <w:rsid w:val="00CA7ABD"/>
    <w:rsid w:val="00CB00C8"/>
    <w:rsid w:val="00CB0EEA"/>
    <w:rsid w:val="00CB11D1"/>
    <w:rsid w:val="00CB2227"/>
    <w:rsid w:val="00CB2CBD"/>
    <w:rsid w:val="00CB5452"/>
    <w:rsid w:val="00CB5F6B"/>
    <w:rsid w:val="00CB5FAA"/>
    <w:rsid w:val="00CB641D"/>
    <w:rsid w:val="00CB74C3"/>
    <w:rsid w:val="00CC075C"/>
    <w:rsid w:val="00CC12AE"/>
    <w:rsid w:val="00CC16CB"/>
    <w:rsid w:val="00CC1E1A"/>
    <w:rsid w:val="00CC228B"/>
    <w:rsid w:val="00CC321A"/>
    <w:rsid w:val="00CC346C"/>
    <w:rsid w:val="00CC428C"/>
    <w:rsid w:val="00CC566A"/>
    <w:rsid w:val="00CC58F6"/>
    <w:rsid w:val="00CC622A"/>
    <w:rsid w:val="00CC6790"/>
    <w:rsid w:val="00CC77E7"/>
    <w:rsid w:val="00CC7B18"/>
    <w:rsid w:val="00CD009C"/>
    <w:rsid w:val="00CD0DDA"/>
    <w:rsid w:val="00CD23FB"/>
    <w:rsid w:val="00CD2A1C"/>
    <w:rsid w:val="00CD437D"/>
    <w:rsid w:val="00CD4A7B"/>
    <w:rsid w:val="00CD5709"/>
    <w:rsid w:val="00CD7AE2"/>
    <w:rsid w:val="00CE042E"/>
    <w:rsid w:val="00CE128A"/>
    <w:rsid w:val="00CE1B0C"/>
    <w:rsid w:val="00CE1D03"/>
    <w:rsid w:val="00CE2B4B"/>
    <w:rsid w:val="00CE2F1B"/>
    <w:rsid w:val="00CE3208"/>
    <w:rsid w:val="00CE3B32"/>
    <w:rsid w:val="00CE58DB"/>
    <w:rsid w:val="00CE6F3D"/>
    <w:rsid w:val="00CE7494"/>
    <w:rsid w:val="00CE7D47"/>
    <w:rsid w:val="00CF0894"/>
    <w:rsid w:val="00CF105B"/>
    <w:rsid w:val="00CF10B5"/>
    <w:rsid w:val="00CF268C"/>
    <w:rsid w:val="00CF2E30"/>
    <w:rsid w:val="00CF38DA"/>
    <w:rsid w:val="00CF3F59"/>
    <w:rsid w:val="00CF421E"/>
    <w:rsid w:val="00CF4AAB"/>
    <w:rsid w:val="00CF4BCF"/>
    <w:rsid w:val="00CF4C73"/>
    <w:rsid w:val="00CF4D1F"/>
    <w:rsid w:val="00CF5656"/>
    <w:rsid w:val="00CF64B6"/>
    <w:rsid w:val="00CF6A09"/>
    <w:rsid w:val="00CF6B1E"/>
    <w:rsid w:val="00CF6DF7"/>
    <w:rsid w:val="00D009D8"/>
    <w:rsid w:val="00D00F7A"/>
    <w:rsid w:val="00D01E5F"/>
    <w:rsid w:val="00D023B5"/>
    <w:rsid w:val="00D02C81"/>
    <w:rsid w:val="00D03A7D"/>
    <w:rsid w:val="00D03E55"/>
    <w:rsid w:val="00D0447D"/>
    <w:rsid w:val="00D04CEF"/>
    <w:rsid w:val="00D05C9A"/>
    <w:rsid w:val="00D067A4"/>
    <w:rsid w:val="00D075E2"/>
    <w:rsid w:val="00D119DF"/>
    <w:rsid w:val="00D138AF"/>
    <w:rsid w:val="00D1495F"/>
    <w:rsid w:val="00D154E4"/>
    <w:rsid w:val="00D159A0"/>
    <w:rsid w:val="00D1602B"/>
    <w:rsid w:val="00D16382"/>
    <w:rsid w:val="00D17245"/>
    <w:rsid w:val="00D17D98"/>
    <w:rsid w:val="00D2016E"/>
    <w:rsid w:val="00D222AA"/>
    <w:rsid w:val="00D23065"/>
    <w:rsid w:val="00D23BF5"/>
    <w:rsid w:val="00D24A52"/>
    <w:rsid w:val="00D261D4"/>
    <w:rsid w:val="00D27FA2"/>
    <w:rsid w:val="00D27FB3"/>
    <w:rsid w:val="00D31966"/>
    <w:rsid w:val="00D31B93"/>
    <w:rsid w:val="00D32295"/>
    <w:rsid w:val="00D322BF"/>
    <w:rsid w:val="00D33937"/>
    <w:rsid w:val="00D33A2D"/>
    <w:rsid w:val="00D3476F"/>
    <w:rsid w:val="00D34C78"/>
    <w:rsid w:val="00D3711D"/>
    <w:rsid w:val="00D371C4"/>
    <w:rsid w:val="00D37217"/>
    <w:rsid w:val="00D37F09"/>
    <w:rsid w:val="00D4050A"/>
    <w:rsid w:val="00D40B24"/>
    <w:rsid w:val="00D421AF"/>
    <w:rsid w:val="00D42EEC"/>
    <w:rsid w:val="00D43167"/>
    <w:rsid w:val="00D43DBD"/>
    <w:rsid w:val="00D43EB5"/>
    <w:rsid w:val="00D4519F"/>
    <w:rsid w:val="00D47708"/>
    <w:rsid w:val="00D512CF"/>
    <w:rsid w:val="00D51C96"/>
    <w:rsid w:val="00D51D7D"/>
    <w:rsid w:val="00D52203"/>
    <w:rsid w:val="00D527F9"/>
    <w:rsid w:val="00D52E9C"/>
    <w:rsid w:val="00D53BF4"/>
    <w:rsid w:val="00D540AB"/>
    <w:rsid w:val="00D5451D"/>
    <w:rsid w:val="00D55425"/>
    <w:rsid w:val="00D55763"/>
    <w:rsid w:val="00D55EC7"/>
    <w:rsid w:val="00D56028"/>
    <w:rsid w:val="00D57721"/>
    <w:rsid w:val="00D6034E"/>
    <w:rsid w:val="00D60F63"/>
    <w:rsid w:val="00D61BF1"/>
    <w:rsid w:val="00D627A0"/>
    <w:rsid w:val="00D63BAE"/>
    <w:rsid w:val="00D646D4"/>
    <w:rsid w:val="00D64CFD"/>
    <w:rsid w:val="00D6622F"/>
    <w:rsid w:val="00D667C7"/>
    <w:rsid w:val="00D67784"/>
    <w:rsid w:val="00D67B54"/>
    <w:rsid w:val="00D67CFE"/>
    <w:rsid w:val="00D71B30"/>
    <w:rsid w:val="00D729B1"/>
    <w:rsid w:val="00D73EBA"/>
    <w:rsid w:val="00D757BA"/>
    <w:rsid w:val="00D764D6"/>
    <w:rsid w:val="00D776B9"/>
    <w:rsid w:val="00D80E01"/>
    <w:rsid w:val="00D81148"/>
    <w:rsid w:val="00D81862"/>
    <w:rsid w:val="00D82B88"/>
    <w:rsid w:val="00D82FBB"/>
    <w:rsid w:val="00D83A43"/>
    <w:rsid w:val="00D84783"/>
    <w:rsid w:val="00D856B5"/>
    <w:rsid w:val="00D862DA"/>
    <w:rsid w:val="00D867A4"/>
    <w:rsid w:val="00D8774F"/>
    <w:rsid w:val="00D87D7E"/>
    <w:rsid w:val="00D87EF4"/>
    <w:rsid w:val="00D90724"/>
    <w:rsid w:val="00D90C83"/>
    <w:rsid w:val="00D90DE1"/>
    <w:rsid w:val="00D90E7B"/>
    <w:rsid w:val="00D9119C"/>
    <w:rsid w:val="00D915C0"/>
    <w:rsid w:val="00D923DE"/>
    <w:rsid w:val="00D92ADC"/>
    <w:rsid w:val="00D931B9"/>
    <w:rsid w:val="00D95113"/>
    <w:rsid w:val="00D967C7"/>
    <w:rsid w:val="00D96E1C"/>
    <w:rsid w:val="00D9778C"/>
    <w:rsid w:val="00D97EBF"/>
    <w:rsid w:val="00DA012A"/>
    <w:rsid w:val="00DA0336"/>
    <w:rsid w:val="00DA086E"/>
    <w:rsid w:val="00DA0E58"/>
    <w:rsid w:val="00DA122C"/>
    <w:rsid w:val="00DA1F50"/>
    <w:rsid w:val="00DA493E"/>
    <w:rsid w:val="00DB0949"/>
    <w:rsid w:val="00DB0B68"/>
    <w:rsid w:val="00DB25F9"/>
    <w:rsid w:val="00DB2EE0"/>
    <w:rsid w:val="00DB310A"/>
    <w:rsid w:val="00DB481A"/>
    <w:rsid w:val="00DB5693"/>
    <w:rsid w:val="00DB59B7"/>
    <w:rsid w:val="00DB7442"/>
    <w:rsid w:val="00DB783D"/>
    <w:rsid w:val="00DC04E1"/>
    <w:rsid w:val="00DC08A8"/>
    <w:rsid w:val="00DC1D58"/>
    <w:rsid w:val="00DC2920"/>
    <w:rsid w:val="00DC2D6C"/>
    <w:rsid w:val="00DC35A1"/>
    <w:rsid w:val="00DC3877"/>
    <w:rsid w:val="00DC3AAD"/>
    <w:rsid w:val="00DC3C22"/>
    <w:rsid w:val="00DC43AB"/>
    <w:rsid w:val="00DC4E7B"/>
    <w:rsid w:val="00DC722D"/>
    <w:rsid w:val="00DD1095"/>
    <w:rsid w:val="00DD4B6A"/>
    <w:rsid w:val="00DD4B8B"/>
    <w:rsid w:val="00DD6266"/>
    <w:rsid w:val="00DD6428"/>
    <w:rsid w:val="00DD69E2"/>
    <w:rsid w:val="00DD6E0F"/>
    <w:rsid w:val="00DD73EA"/>
    <w:rsid w:val="00DD7FA8"/>
    <w:rsid w:val="00DE0080"/>
    <w:rsid w:val="00DE0DD8"/>
    <w:rsid w:val="00DE1085"/>
    <w:rsid w:val="00DE1CB4"/>
    <w:rsid w:val="00DE2055"/>
    <w:rsid w:val="00DE2266"/>
    <w:rsid w:val="00DE263F"/>
    <w:rsid w:val="00DE4EC7"/>
    <w:rsid w:val="00DE500E"/>
    <w:rsid w:val="00DE6CA0"/>
    <w:rsid w:val="00DE70D0"/>
    <w:rsid w:val="00DE7242"/>
    <w:rsid w:val="00DE7504"/>
    <w:rsid w:val="00DF0464"/>
    <w:rsid w:val="00DF0E88"/>
    <w:rsid w:val="00DF254D"/>
    <w:rsid w:val="00DF394B"/>
    <w:rsid w:val="00DF3CC4"/>
    <w:rsid w:val="00DF43BB"/>
    <w:rsid w:val="00DF48B9"/>
    <w:rsid w:val="00DF61EF"/>
    <w:rsid w:val="00DF7C46"/>
    <w:rsid w:val="00DF7DA5"/>
    <w:rsid w:val="00E00D23"/>
    <w:rsid w:val="00E02DF3"/>
    <w:rsid w:val="00E03470"/>
    <w:rsid w:val="00E038EC"/>
    <w:rsid w:val="00E044D4"/>
    <w:rsid w:val="00E046B5"/>
    <w:rsid w:val="00E0473E"/>
    <w:rsid w:val="00E04A1B"/>
    <w:rsid w:val="00E066BD"/>
    <w:rsid w:val="00E06D95"/>
    <w:rsid w:val="00E06DBE"/>
    <w:rsid w:val="00E07631"/>
    <w:rsid w:val="00E078DD"/>
    <w:rsid w:val="00E07BC8"/>
    <w:rsid w:val="00E12E04"/>
    <w:rsid w:val="00E136AA"/>
    <w:rsid w:val="00E13FAF"/>
    <w:rsid w:val="00E146F5"/>
    <w:rsid w:val="00E15204"/>
    <w:rsid w:val="00E1575C"/>
    <w:rsid w:val="00E17436"/>
    <w:rsid w:val="00E17698"/>
    <w:rsid w:val="00E21554"/>
    <w:rsid w:val="00E21715"/>
    <w:rsid w:val="00E21BC7"/>
    <w:rsid w:val="00E222B7"/>
    <w:rsid w:val="00E23456"/>
    <w:rsid w:val="00E23963"/>
    <w:rsid w:val="00E24811"/>
    <w:rsid w:val="00E24EA9"/>
    <w:rsid w:val="00E27B15"/>
    <w:rsid w:val="00E27B9A"/>
    <w:rsid w:val="00E27F4E"/>
    <w:rsid w:val="00E30CA4"/>
    <w:rsid w:val="00E30EF3"/>
    <w:rsid w:val="00E330B8"/>
    <w:rsid w:val="00E34B3C"/>
    <w:rsid w:val="00E354E0"/>
    <w:rsid w:val="00E35F72"/>
    <w:rsid w:val="00E366B3"/>
    <w:rsid w:val="00E36D9E"/>
    <w:rsid w:val="00E37608"/>
    <w:rsid w:val="00E4024D"/>
    <w:rsid w:val="00E40295"/>
    <w:rsid w:val="00E405D3"/>
    <w:rsid w:val="00E4107D"/>
    <w:rsid w:val="00E41252"/>
    <w:rsid w:val="00E41DE4"/>
    <w:rsid w:val="00E42D8E"/>
    <w:rsid w:val="00E43AC2"/>
    <w:rsid w:val="00E45553"/>
    <w:rsid w:val="00E457E2"/>
    <w:rsid w:val="00E45A10"/>
    <w:rsid w:val="00E45D85"/>
    <w:rsid w:val="00E46E24"/>
    <w:rsid w:val="00E47300"/>
    <w:rsid w:val="00E47B6F"/>
    <w:rsid w:val="00E47DC9"/>
    <w:rsid w:val="00E50842"/>
    <w:rsid w:val="00E50DA6"/>
    <w:rsid w:val="00E5143D"/>
    <w:rsid w:val="00E516EB"/>
    <w:rsid w:val="00E52D6A"/>
    <w:rsid w:val="00E5391E"/>
    <w:rsid w:val="00E548CB"/>
    <w:rsid w:val="00E54A84"/>
    <w:rsid w:val="00E54DF6"/>
    <w:rsid w:val="00E55598"/>
    <w:rsid w:val="00E5585C"/>
    <w:rsid w:val="00E5779B"/>
    <w:rsid w:val="00E57AB8"/>
    <w:rsid w:val="00E60FDB"/>
    <w:rsid w:val="00E623D5"/>
    <w:rsid w:val="00E62D40"/>
    <w:rsid w:val="00E631B0"/>
    <w:rsid w:val="00E64187"/>
    <w:rsid w:val="00E64AF7"/>
    <w:rsid w:val="00E66B1A"/>
    <w:rsid w:val="00E67DFB"/>
    <w:rsid w:val="00E71E72"/>
    <w:rsid w:val="00E7322F"/>
    <w:rsid w:val="00E7377D"/>
    <w:rsid w:val="00E73D35"/>
    <w:rsid w:val="00E74497"/>
    <w:rsid w:val="00E744D2"/>
    <w:rsid w:val="00E749D0"/>
    <w:rsid w:val="00E74E88"/>
    <w:rsid w:val="00E756EA"/>
    <w:rsid w:val="00E75BB4"/>
    <w:rsid w:val="00E7713E"/>
    <w:rsid w:val="00E7785C"/>
    <w:rsid w:val="00E810BD"/>
    <w:rsid w:val="00E812AD"/>
    <w:rsid w:val="00E81E21"/>
    <w:rsid w:val="00E824D1"/>
    <w:rsid w:val="00E82CBB"/>
    <w:rsid w:val="00E83245"/>
    <w:rsid w:val="00E835C6"/>
    <w:rsid w:val="00E84A3A"/>
    <w:rsid w:val="00E854D7"/>
    <w:rsid w:val="00E8553B"/>
    <w:rsid w:val="00E85873"/>
    <w:rsid w:val="00E85F86"/>
    <w:rsid w:val="00E86E23"/>
    <w:rsid w:val="00E876BA"/>
    <w:rsid w:val="00E8771F"/>
    <w:rsid w:val="00E9030F"/>
    <w:rsid w:val="00E907DF"/>
    <w:rsid w:val="00E91397"/>
    <w:rsid w:val="00E92BD5"/>
    <w:rsid w:val="00E934AB"/>
    <w:rsid w:val="00E95614"/>
    <w:rsid w:val="00E960D8"/>
    <w:rsid w:val="00E968C3"/>
    <w:rsid w:val="00E968F6"/>
    <w:rsid w:val="00E97C1B"/>
    <w:rsid w:val="00E97F65"/>
    <w:rsid w:val="00EA0B81"/>
    <w:rsid w:val="00EA16E6"/>
    <w:rsid w:val="00EA23CB"/>
    <w:rsid w:val="00EA2B8A"/>
    <w:rsid w:val="00EA2BBF"/>
    <w:rsid w:val="00EA2C8D"/>
    <w:rsid w:val="00EA3366"/>
    <w:rsid w:val="00EA3C88"/>
    <w:rsid w:val="00EA4C6F"/>
    <w:rsid w:val="00EA5BC8"/>
    <w:rsid w:val="00EA68DE"/>
    <w:rsid w:val="00EA692D"/>
    <w:rsid w:val="00EA6B83"/>
    <w:rsid w:val="00EA7099"/>
    <w:rsid w:val="00EA71A2"/>
    <w:rsid w:val="00EA7453"/>
    <w:rsid w:val="00EB015D"/>
    <w:rsid w:val="00EB01DD"/>
    <w:rsid w:val="00EB12BE"/>
    <w:rsid w:val="00EB1786"/>
    <w:rsid w:val="00EB3DF7"/>
    <w:rsid w:val="00EB4137"/>
    <w:rsid w:val="00EB431F"/>
    <w:rsid w:val="00EB4A92"/>
    <w:rsid w:val="00EB4E4A"/>
    <w:rsid w:val="00EB4FD1"/>
    <w:rsid w:val="00EB5477"/>
    <w:rsid w:val="00EB56A2"/>
    <w:rsid w:val="00EC1D0D"/>
    <w:rsid w:val="00EC2FE2"/>
    <w:rsid w:val="00EC2FF9"/>
    <w:rsid w:val="00EC4253"/>
    <w:rsid w:val="00EC4E8D"/>
    <w:rsid w:val="00EC5A18"/>
    <w:rsid w:val="00EC60E3"/>
    <w:rsid w:val="00EC6253"/>
    <w:rsid w:val="00EC6A7E"/>
    <w:rsid w:val="00EC6FBF"/>
    <w:rsid w:val="00EC72C1"/>
    <w:rsid w:val="00ED07C6"/>
    <w:rsid w:val="00ED1FD3"/>
    <w:rsid w:val="00ED32A2"/>
    <w:rsid w:val="00ED335F"/>
    <w:rsid w:val="00ED4742"/>
    <w:rsid w:val="00ED644E"/>
    <w:rsid w:val="00ED6CBD"/>
    <w:rsid w:val="00ED6EE1"/>
    <w:rsid w:val="00ED73B5"/>
    <w:rsid w:val="00ED768C"/>
    <w:rsid w:val="00ED7752"/>
    <w:rsid w:val="00ED7DD3"/>
    <w:rsid w:val="00EE1454"/>
    <w:rsid w:val="00EE16D7"/>
    <w:rsid w:val="00EE38E6"/>
    <w:rsid w:val="00EE398D"/>
    <w:rsid w:val="00EE3DFD"/>
    <w:rsid w:val="00EE4E08"/>
    <w:rsid w:val="00EE5A67"/>
    <w:rsid w:val="00EE6894"/>
    <w:rsid w:val="00EE6BAF"/>
    <w:rsid w:val="00EE6D9C"/>
    <w:rsid w:val="00EE74F1"/>
    <w:rsid w:val="00EE7B83"/>
    <w:rsid w:val="00EF019A"/>
    <w:rsid w:val="00EF050F"/>
    <w:rsid w:val="00EF0527"/>
    <w:rsid w:val="00EF0E7F"/>
    <w:rsid w:val="00EF113F"/>
    <w:rsid w:val="00EF1352"/>
    <w:rsid w:val="00EF1457"/>
    <w:rsid w:val="00EF1668"/>
    <w:rsid w:val="00EF251C"/>
    <w:rsid w:val="00EF2CDC"/>
    <w:rsid w:val="00EF3835"/>
    <w:rsid w:val="00EF46FE"/>
    <w:rsid w:val="00EF54D6"/>
    <w:rsid w:val="00EF5B89"/>
    <w:rsid w:val="00EF6400"/>
    <w:rsid w:val="00EF6C19"/>
    <w:rsid w:val="00F0111B"/>
    <w:rsid w:val="00F011D1"/>
    <w:rsid w:val="00F0125C"/>
    <w:rsid w:val="00F0151A"/>
    <w:rsid w:val="00F01AA5"/>
    <w:rsid w:val="00F01E17"/>
    <w:rsid w:val="00F024D3"/>
    <w:rsid w:val="00F02889"/>
    <w:rsid w:val="00F02B6C"/>
    <w:rsid w:val="00F03DA2"/>
    <w:rsid w:val="00F0400A"/>
    <w:rsid w:val="00F040A8"/>
    <w:rsid w:val="00F041B1"/>
    <w:rsid w:val="00F04417"/>
    <w:rsid w:val="00F046FE"/>
    <w:rsid w:val="00F04A60"/>
    <w:rsid w:val="00F05A07"/>
    <w:rsid w:val="00F060C9"/>
    <w:rsid w:val="00F068A7"/>
    <w:rsid w:val="00F06DDB"/>
    <w:rsid w:val="00F06FE0"/>
    <w:rsid w:val="00F07A0F"/>
    <w:rsid w:val="00F07D09"/>
    <w:rsid w:val="00F10925"/>
    <w:rsid w:val="00F117F8"/>
    <w:rsid w:val="00F11D28"/>
    <w:rsid w:val="00F1235E"/>
    <w:rsid w:val="00F134E8"/>
    <w:rsid w:val="00F13A3D"/>
    <w:rsid w:val="00F14452"/>
    <w:rsid w:val="00F1456F"/>
    <w:rsid w:val="00F151E9"/>
    <w:rsid w:val="00F15553"/>
    <w:rsid w:val="00F15DBF"/>
    <w:rsid w:val="00F15EFD"/>
    <w:rsid w:val="00F1736D"/>
    <w:rsid w:val="00F177F8"/>
    <w:rsid w:val="00F200BF"/>
    <w:rsid w:val="00F21702"/>
    <w:rsid w:val="00F218FE"/>
    <w:rsid w:val="00F21E20"/>
    <w:rsid w:val="00F2253D"/>
    <w:rsid w:val="00F22D72"/>
    <w:rsid w:val="00F23328"/>
    <w:rsid w:val="00F2430D"/>
    <w:rsid w:val="00F24DE7"/>
    <w:rsid w:val="00F24EAF"/>
    <w:rsid w:val="00F25AB2"/>
    <w:rsid w:val="00F269AC"/>
    <w:rsid w:val="00F27DA3"/>
    <w:rsid w:val="00F27F73"/>
    <w:rsid w:val="00F300D3"/>
    <w:rsid w:val="00F306E8"/>
    <w:rsid w:val="00F3135E"/>
    <w:rsid w:val="00F317EC"/>
    <w:rsid w:val="00F3229B"/>
    <w:rsid w:val="00F32DF2"/>
    <w:rsid w:val="00F3338B"/>
    <w:rsid w:val="00F33765"/>
    <w:rsid w:val="00F343DF"/>
    <w:rsid w:val="00F34F44"/>
    <w:rsid w:val="00F366D3"/>
    <w:rsid w:val="00F36759"/>
    <w:rsid w:val="00F3684D"/>
    <w:rsid w:val="00F373A0"/>
    <w:rsid w:val="00F406D0"/>
    <w:rsid w:val="00F40B57"/>
    <w:rsid w:val="00F40EE4"/>
    <w:rsid w:val="00F414CB"/>
    <w:rsid w:val="00F42134"/>
    <w:rsid w:val="00F42C42"/>
    <w:rsid w:val="00F42CF0"/>
    <w:rsid w:val="00F44DB5"/>
    <w:rsid w:val="00F45988"/>
    <w:rsid w:val="00F46798"/>
    <w:rsid w:val="00F474EC"/>
    <w:rsid w:val="00F47B5E"/>
    <w:rsid w:val="00F47C02"/>
    <w:rsid w:val="00F51033"/>
    <w:rsid w:val="00F51AD5"/>
    <w:rsid w:val="00F53622"/>
    <w:rsid w:val="00F53AE9"/>
    <w:rsid w:val="00F54247"/>
    <w:rsid w:val="00F54535"/>
    <w:rsid w:val="00F5468E"/>
    <w:rsid w:val="00F557A8"/>
    <w:rsid w:val="00F55CC5"/>
    <w:rsid w:val="00F56414"/>
    <w:rsid w:val="00F5667C"/>
    <w:rsid w:val="00F575A5"/>
    <w:rsid w:val="00F57619"/>
    <w:rsid w:val="00F605CA"/>
    <w:rsid w:val="00F60977"/>
    <w:rsid w:val="00F60A5E"/>
    <w:rsid w:val="00F60D99"/>
    <w:rsid w:val="00F617C9"/>
    <w:rsid w:val="00F6261F"/>
    <w:rsid w:val="00F62922"/>
    <w:rsid w:val="00F638CF"/>
    <w:rsid w:val="00F63D86"/>
    <w:rsid w:val="00F65148"/>
    <w:rsid w:val="00F654C9"/>
    <w:rsid w:val="00F65916"/>
    <w:rsid w:val="00F66152"/>
    <w:rsid w:val="00F663B7"/>
    <w:rsid w:val="00F66D6B"/>
    <w:rsid w:val="00F67EA6"/>
    <w:rsid w:val="00F7060B"/>
    <w:rsid w:val="00F70632"/>
    <w:rsid w:val="00F70F19"/>
    <w:rsid w:val="00F70FEA"/>
    <w:rsid w:val="00F712A2"/>
    <w:rsid w:val="00F715C8"/>
    <w:rsid w:val="00F72508"/>
    <w:rsid w:val="00F72910"/>
    <w:rsid w:val="00F735E7"/>
    <w:rsid w:val="00F73760"/>
    <w:rsid w:val="00F73D59"/>
    <w:rsid w:val="00F740B2"/>
    <w:rsid w:val="00F7577E"/>
    <w:rsid w:val="00F76EB5"/>
    <w:rsid w:val="00F772C7"/>
    <w:rsid w:val="00F7745C"/>
    <w:rsid w:val="00F8070E"/>
    <w:rsid w:val="00F80FA4"/>
    <w:rsid w:val="00F81517"/>
    <w:rsid w:val="00F8172E"/>
    <w:rsid w:val="00F83377"/>
    <w:rsid w:val="00F8359D"/>
    <w:rsid w:val="00F84F8C"/>
    <w:rsid w:val="00F902FF"/>
    <w:rsid w:val="00F90DDD"/>
    <w:rsid w:val="00F91ACE"/>
    <w:rsid w:val="00F91E71"/>
    <w:rsid w:val="00F92E8D"/>
    <w:rsid w:val="00F930A2"/>
    <w:rsid w:val="00F9368B"/>
    <w:rsid w:val="00F950C3"/>
    <w:rsid w:val="00F950E7"/>
    <w:rsid w:val="00F95858"/>
    <w:rsid w:val="00F958C7"/>
    <w:rsid w:val="00F96B38"/>
    <w:rsid w:val="00F97084"/>
    <w:rsid w:val="00F97FD4"/>
    <w:rsid w:val="00FA0307"/>
    <w:rsid w:val="00FA0647"/>
    <w:rsid w:val="00FA1715"/>
    <w:rsid w:val="00FA214C"/>
    <w:rsid w:val="00FA2265"/>
    <w:rsid w:val="00FA2378"/>
    <w:rsid w:val="00FA45C2"/>
    <w:rsid w:val="00FA4D6D"/>
    <w:rsid w:val="00FA5F25"/>
    <w:rsid w:val="00FA61D3"/>
    <w:rsid w:val="00FA67DC"/>
    <w:rsid w:val="00FA73F1"/>
    <w:rsid w:val="00FB1BE7"/>
    <w:rsid w:val="00FB1C53"/>
    <w:rsid w:val="00FB302A"/>
    <w:rsid w:val="00FB33EC"/>
    <w:rsid w:val="00FB531D"/>
    <w:rsid w:val="00FB54DD"/>
    <w:rsid w:val="00FB5941"/>
    <w:rsid w:val="00FB61CC"/>
    <w:rsid w:val="00FB6519"/>
    <w:rsid w:val="00FB6FAD"/>
    <w:rsid w:val="00FB7085"/>
    <w:rsid w:val="00FB70DF"/>
    <w:rsid w:val="00FC0B01"/>
    <w:rsid w:val="00FC13C9"/>
    <w:rsid w:val="00FC1F85"/>
    <w:rsid w:val="00FC29AF"/>
    <w:rsid w:val="00FC2A46"/>
    <w:rsid w:val="00FC2F2C"/>
    <w:rsid w:val="00FC3CAE"/>
    <w:rsid w:val="00FC4383"/>
    <w:rsid w:val="00FC49FA"/>
    <w:rsid w:val="00FC50E6"/>
    <w:rsid w:val="00FC5FD6"/>
    <w:rsid w:val="00FC61EA"/>
    <w:rsid w:val="00FC6A0C"/>
    <w:rsid w:val="00FC6E6B"/>
    <w:rsid w:val="00FC790B"/>
    <w:rsid w:val="00FC7E2D"/>
    <w:rsid w:val="00FD0373"/>
    <w:rsid w:val="00FD08DF"/>
    <w:rsid w:val="00FD0ABC"/>
    <w:rsid w:val="00FD17F0"/>
    <w:rsid w:val="00FD1A9C"/>
    <w:rsid w:val="00FD2697"/>
    <w:rsid w:val="00FD2E76"/>
    <w:rsid w:val="00FD3904"/>
    <w:rsid w:val="00FD526E"/>
    <w:rsid w:val="00FD5863"/>
    <w:rsid w:val="00FD5A9E"/>
    <w:rsid w:val="00FD5E29"/>
    <w:rsid w:val="00FD6725"/>
    <w:rsid w:val="00FD6F05"/>
    <w:rsid w:val="00FD7A3A"/>
    <w:rsid w:val="00FE0E84"/>
    <w:rsid w:val="00FE1117"/>
    <w:rsid w:val="00FE11D9"/>
    <w:rsid w:val="00FE1856"/>
    <w:rsid w:val="00FE1C62"/>
    <w:rsid w:val="00FE45A9"/>
    <w:rsid w:val="00FE47BF"/>
    <w:rsid w:val="00FE49EE"/>
    <w:rsid w:val="00FE5043"/>
    <w:rsid w:val="00FE7D1A"/>
    <w:rsid w:val="00FF0762"/>
    <w:rsid w:val="00FF0F0D"/>
    <w:rsid w:val="00FF1912"/>
    <w:rsid w:val="00FF1A8B"/>
    <w:rsid w:val="00FF232C"/>
    <w:rsid w:val="00FF2334"/>
    <w:rsid w:val="00FF2892"/>
    <w:rsid w:val="00FF2BF5"/>
    <w:rsid w:val="00FF2F9B"/>
    <w:rsid w:val="00FF31DD"/>
    <w:rsid w:val="00FF36DF"/>
    <w:rsid w:val="00FF37B4"/>
    <w:rsid w:val="00FF6416"/>
    <w:rsid w:val="00FF67E4"/>
    <w:rsid w:val="00FF6DE8"/>
    <w:rsid w:val="00FF7569"/>
    <w:rsid w:val="00FF7948"/>
    <w:rsid w:val="00FF796D"/>
    <w:rsid w:val="00FF7F6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5:docId w15:val="{FCAC090B-59D9-4B5D-9BE5-E5EAC5880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F6C"/>
    <w:rPr>
      <w:sz w:val="24"/>
      <w:szCs w:val="24"/>
      <w:lang w:eastAsia="es-ES"/>
    </w:rPr>
  </w:style>
  <w:style w:type="paragraph" w:styleId="Ttulo1">
    <w:name w:val="heading 1"/>
    <w:basedOn w:val="Normal"/>
    <w:next w:val="Normal"/>
    <w:link w:val="Ttulo1Car"/>
    <w:qFormat/>
    <w:rsid w:val="00153576"/>
    <w:pPr>
      <w:keepNext/>
      <w:outlineLvl w:val="0"/>
    </w:pPr>
    <w:rPr>
      <w:b/>
      <w:bCs/>
    </w:rPr>
  </w:style>
  <w:style w:type="paragraph" w:styleId="Ttulo2">
    <w:name w:val="heading 2"/>
    <w:basedOn w:val="Normal"/>
    <w:next w:val="Normal"/>
    <w:link w:val="Ttulo2Car"/>
    <w:qFormat/>
    <w:rsid w:val="00153576"/>
    <w:pPr>
      <w:keepNext/>
      <w:ind w:left="360"/>
      <w:outlineLvl w:val="1"/>
    </w:pPr>
    <w:rPr>
      <w:b/>
      <w:bCs/>
    </w:rPr>
  </w:style>
  <w:style w:type="paragraph" w:styleId="Ttulo5">
    <w:name w:val="heading 5"/>
    <w:basedOn w:val="Normal"/>
    <w:next w:val="Normal"/>
    <w:link w:val="Ttulo5Car"/>
    <w:qFormat/>
    <w:rsid w:val="00153576"/>
    <w:pPr>
      <w:keepNext/>
      <w:pBdr>
        <w:top w:val="single" w:sz="4" w:space="1" w:color="auto"/>
        <w:left w:val="single" w:sz="4" w:space="4" w:color="auto"/>
        <w:bottom w:val="single" w:sz="4" w:space="1" w:color="auto"/>
        <w:right w:val="single" w:sz="4" w:space="4" w:color="auto"/>
      </w:pBdr>
      <w:jc w:val="center"/>
      <w:outlineLvl w:val="4"/>
    </w:pPr>
    <w:rPr>
      <w:rFonts w:ascii="Arial" w:hAnsi="Arial"/>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153576"/>
    <w:pPr>
      <w:jc w:val="both"/>
    </w:pPr>
    <w:rPr>
      <w:rFonts w:ascii="Arial" w:hAnsi="Arial" w:cs="Arial"/>
      <w:sz w:val="22"/>
      <w:szCs w:val="22"/>
    </w:rPr>
  </w:style>
  <w:style w:type="paragraph" w:styleId="Encabezado">
    <w:name w:val="header"/>
    <w:basedOn w:val="Normal"/>
    <w:link w:val="EncabezadoCar"/>
    <w:rsid w:val="00153576"/>
    <w:pPr>
      <w:tabs>
        <w:tab w:val="center" w:pos="4419"/>
        <w:tab w:val="right" w:pos="8838"/>
      </w:tabs>
    </w:pPr>
  </w:style>
  <w:style w:type="character" w:styleId="Nmerodepgina">
    <w:name w:val="page number"/>
    <w:basedOn w:val="Fuentedeprrafopredeter"/>
    <w:rsid w:val="00153576"/>
  </w:style>
  <w:style w:type="paragraph" w:styleId="Piedepgina">
    <w:name w:val="footer"/>
    <w:basedOn w:val="Normal"/>
    <w:link w:val="PiedepginaCar"/>
    <w:rsid w:val="00153576"/>
    <w:pPr>
      <w:tabs>
        <w:tab w:val="center" w:pos="4419"/>
        <w:tab w:val="right" w:pos="8838"/>
      </w:tabs>
    </w:pPr>
  </w:style>
  <w:style w:type="paragraph" w:styleId="Textoindependiente">
    <w:name w:val="Body Text"/>
    <w:basedOn w:val="Normal"/>
    <w:link w:val="TextoindependienteCar"/>
    <w:rsid w:val="00153576"/>
    <w:pPr>
      <w:jc w:val="both"/>
    </w:pPr>
    <w:rPr>
      <w:rFonts w:ascii="ZapfHumnst BT" w:hAnsi="ZapfHumnst BT"/>
      <w:bCs/>
      <w:sz w:val="18"/>
    </w:rPr>
  </w:style>
  <w:style w:type="paragraph" w:styleId="Textodeglobo">
    <w:name w:val="Balloon Text"/>
    <w:basedOn w:val="Normal"/>
    <w:link w:val="TextodegloboCar"/>
    <w:semiHidden/>
    <w:rsid w:val="00C34DFE"/>
    <w:rPr>
      <w:rFonts w:ascii="Tahoma" w:hAnsi="Tahoma" w:cs="Tahoma"/>
      <w:sz w:val="16"/>
      <w:szCs w:val="16"/>
    </w:rPr>
  </w:style>
  <w:style w:type="paragraph" w:styleId="Prrafodelista">
    <w:name w:val="List Paragraph"/>
    <w:basedOn w:val="Normal"/>
    <w:uiPriority w:val="34"/>
    <w:qFormat/>
    <w:rsid w:val="00E516EB"/>
    <w:pPr>
      <w:ind w:left="720"/>
      <w:contextualSpacing/>
    </w:pPr>
  </w:style>
  <w:style w:type="character" w:customStyle="1" w:styleId="TextoindependienteCar">
    <w:name w:val="Texto independiente Car"/>
    <w:link w:val="Textoindependiente"/>
    <w:rsid w:val="00820BB0"/>
    <w:rPr>
      <w:rFonts w:ascii="ZapfHumnst BT" w:hAnsi="ZapfHumnst BT"/>
      <w:bCs/>
      <w:sz w:val="18"/>
      <w:szCs w:val="24"/>
      <w:lang w:val="es-MX"/>
    </w:rPr>
  </w:style>
  <w:style w:type="character" w:styleId="nfasis">
    <w:name w:val="Emphasis"/>
    <w:qFormat/>
    <w:rsid w:val="00363310"/>
    <w:rPr>
      <w:i/>
      <w:iCs/>
    </w:rPr>
  </w:style>
  <w:style w:type="character" w:customStyle="1" w:styleId="Ttulo1Car">
    <w:name w:val="Título 1 Car"/>
    <w:link w:val="Ttulo1"/>
    <w:rsid w:val="00764803"/>
    <w:rPr>
      <w:b/>
      <w:bCs/>
      <w:sz w:val="24"/>
      <w:szCs w:val="24"/>
      <w:lang w:val="es-MX"/>
    </w:rPr>
  </w:style>
  <w:style w:type="character" w:customStyle="1" w:styleId="Ttulo2Car">
    <w:name w:val="Título 2 Car"/>
    <w:link w:val="Ttulo2"/>
    <w:rsid w:val="00764803"/>
    <w:rPr>
      <w:b/>
      <w:bCs/>
      <w:sz w:val="24"/>
      <w:szCs w:val="24"/>
      <w:lang w:val="es-MX"/>
    </w:rPr>
  </w:style>
  <w:style w:type="character" w:customStyle="1" w:styleId="Ttulo5Car">
    <w:name w:val="Título 5 Car"/>
    <w:link w:val="Ttulo5"/>
    <w:rsid w:val="00764803"/>
    <w:rPr>
      <w:rFonts w:ascii="Arial" w:hAnsi="Arial"/>
      <w:b/>
      <w:sz w:val="18"/>
      <w:szCs w:val="24"/>
      <w:lang w:val="es-MX"/>
    </w:rPr>
  </w:style>
  <w:style w:type="character" w:customStyle="1" w:styleId="Textoindependiente2Car">
    <w:name w:val="Texto independiente 2 Car"/>
    <w:link w:val="Textoindependiente2"/>
    <w:rsid w:val="00764803"/>
    <w:rPr>
      <w:rFonts w:ascii="Arial" w:hAnsi="Arial" w:cs="Arial"/>
      <w:sz w:val="22"/>
      <w:szCs w:val="22"/>
      <w:lang w:val="es-MX"/>
    </w:rPr>
  </w:style>
  <w:style w:type="character" w:customStyle="1" w:styleId="EncabezadoCar">
    <w:name w:val="Encabezado Car"/>
    <w:link w:val="Encabezado"/>
    <w:rsid w:val="00764803"/>
    <w:rPr>
      <w:sz w:val="24"/>
      <w:szCs w:val="24"/>
      <w:lang w:val="es-MX"/>
    </w:rPr>
  </w:style>
  <w:style w:type="character" w:customStyle="1" w:styleId="PiedepginaCar">
    <w:name w:val="Pie de página Car"/>
    <w:link w:val="Piedepgina"/>
    <w:rsid w:val="00764803"/>
    <w:rPr>
      <w:sz w:val="24"/>
      <w:szCs w:val="24"/>
      <w:lang w:val="es-MX"/>
    </w:rPr>
  </w:style>
  <w:style w:type="character" w:customStyle="1" w:styleId="TextodegloboCar">
    <w:name w:val="Texto de globo Car"/>
    <w:link w:val="Textodeglobo"/>
    <w:semiHidden/>
    <w:rsid w:val="00764803"/>
    <w:rPr>
      <w:rFonts w:ascii="Tahoma" w:hAnsi="Tahoma" w:cs="Tahoma"/>
      <w:sz w:val="16"/>
      <w:szCs w:val="16"/>
      <w:lang w:val="es-MX"/>
    </w:rPr>
  </w:style>
  <w:style w:type="paragraph" w:customStyle="1" w:styleId="Texto">
    <w:name w:val="Texto"/>
    <w:basedOn w:val="Normal"/>
    <w:link w:val="TextoCar"/>
    <w:qFormat/>
    <w:rsid w:val="00764803"/>
    <w:pPr>
      <w:spacing w:after="101" w:line="216" w:lineRule="exact"/>
      <w:ind w:firstLine="288"/>
      <w:jc w:val="both"/>
    </w:pPr>
    <w:rPr>
      <w:rFonts w:ascii="Arial" w:hAnsi="Arial" w:cs="Arial"/>
      <w:sz w:val="18"/>
      <w:szCs w:val="20"/>
      <w:lang w:val="es-ES"/>
    </w:rPr>
  </w:style>
  <w:style w:type="character" w:customStyle="1" w:styleId="TextoCar">
    <w:name w:val="Texto Car"/>
    <w:link w:val="Texto"/>
    <w:locked/>
    <w:rsid w:val="00764803"/>
    <w:rPr>
      <w:rFonts w:ascii="Arial" w:hAnsi="Arial" w:cs="Arial"/>
      <w:sz w:val="18"/>
    </w:rPr>
  </w:style>
  <w:style w:type="table" w:styleId="Tablaconcuadrcula">
    <w:name w:val="Table Grid"/>
    <w:basedOn w:val="Tablanormal"/>
    <w:rsid w:val="00683A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5356">
      <w:bodyDiv w:val="1"/>
      <w:marLeft w:val="0"/>
      <w:marRight w:val="0"/>
      <w:marTop w:val="0"/>
      <w:marBottom w:val="0"/>
      <w:divBdr>
        <w:top w:val="none" w:sz="0" w:space="0" w:color="auto"/>
        <w:left w:val="none" w:sz="0" w:space="0" w:color="auto"/>
        <w:bottom w:val="none" w:sz="0" w:space="0" w:color="auto"/>
        <w:right w:val="none" w:sz="0" w:space="0" w:color="auto"/>
      </w:divBdr>
    </w:div>
    <w:div w:id="133180283">
      <w:bodyDiv w:val="1"/>
      <w:marLeft w:val="0"/>
      <w:marRight w:val="0"/>
      <w:marTop w:val="0"/>
      <w:marBottom w:val="0"/>
      <w:divBdr>
        <w:top w:val="none" w:sz="0" w:space="0" w:color="auto"/>
        <w:left w:val="none" w:sz="0" w:space="0" w:color="auto"/>
        <w:bottom w:val="none" w:sz="0" w:space="0" w:color="auto"/>
        <w:right w:val="none" w:sz="0" w:space="0" w:color="auto"/>
      </w:divBdr>
    </w:div>
    <w:div w:id="155537450">
      <w:bodyDiv w:val="1"/>
      <w:marLeft w:val="0"/>
      <w:marRight w:val="0"/>
      <w:marTop w:val="0"/>
      <w:marBottom w:val="0"/>
      <w:divBdr>
        <w:top w:val="none" w:sz="0" w:space="0" w:color="auto"/>
        <w:left w:val="none" w:sz="0" w:space="0" w:color="auto"/>
        <w:bottom w:val="none" w:sz="0" w:space="0" w:color="auto"/>
        <w:right w:val="none" w:sz="0" w:space="0" w:color="auto"/>
      </w:divBdr>
    </w:div>
    <w:div w:id="180748778">
      <w:bodyDiv w:val="1"/>
      <w:marLeft w:val="0"/>
      <w:marRight w:val="0"/>
      <w:marTop w:val="0"/>
      <w:marBottom w:val="0"/>
      <w:divBdr>
        <w:top w:val="none" w:sz="0" w:space="0" w:color="auto"/>
        <w:left w:val="none" w:sz="0" w:space="0" w:color="auto"/>
        <w:bottom w:val="none" w:sz="0" w:space="0" w:color="auto"/>
        <w:right w:val="none" w:sz="0" w:space="0" w:color="auto"/>
      </w:divBdr>
    </w:div>
    <w:div w:id="207421924">
      <w:bodyDiv w:val="1"/>
      <w:marLeft w:val="0"/>
      <w:marRight w:val="0"/>
      <w:marTop w:val="0"/>
      <w:marBottom w:val="0"/>
      <w:divBdr>
        <w:top w:val="none" w:sz="0" w:space="0" w:color="auto"/>
        <w:left w:val="none" w:sz="0" w:space="0" w:color="auto"/>
        <w:bottom w:val="none" w:sz="0" w:space="0" w:color="auto"/>
        <w:right w:val="none" w:sz="0" w:space="0" w:color="auto"/>
      </w:divBdr>
    </w:div>
    <w:div w:id="233319671">
      <w:bodyDiv w:val="1"/>
      <w:marLeft w:val="0"/>
      <w:marRight w:val="0"/>
      <w:marTop w:val="0"/>
      <w:marBottom w:val="0"/>
      <w:divBdr>
        <w:top w:val="none" w:sz="0" w:space="0" w:color="auto"/>
        <w:left w:val="none" w:sz="0" w:space="0" w:color="auto"/>
        <w:bottom w:val="none" w:sz="0" w:space="0" w:color="auto"/>
        <w:right w:val="none" w:sz="0" w:space="0" w:color="auto"/>
      </w:divBdr>
    </w:div>
    <w:div w:id="262227917">
      <w:bodyDiv w:val="1"/>
      <w:marLeft w:val="0"/>
      <w:marRight w:val="0"/>
      <w:marTop w:val="0"/>
      <w:marBottom w:val="0"/>
      <w:divBdr>
        <w:top w:val="none" w:sz="0" w:space="0" w:color="auto"/>
        <w:left w:val="none" w:sz="0" w:space="0" w:color="auto"/>
        <w:bottom w:val="none" w:sz="0" w:space="0" w:color="auto"/>
        <w:right w:val="none" w:sz="0" w:space="0" w:color="auto"/>
      </w:divBdr>
    </w:div>
    <w:div w:id="275412153">
      <w:bodyDiv w:val="1"/>
      <w:marLeft w:val="0"/>
      <w:marRight w:val="0"/>
      <w:marTop w:val="0"/>
      <w:marBottom w:val="0"/>
      <w:divBdr>
        <w:top w:val="none" w:sz="0" w:space="0" w:color="auto"/>
        <w:left w:val="none" w:sz="0" w:space="0" w:color="auto"/>
        <w:bottom w:val="none" w:sz="0" w:space="0" w:color="auto"/>
        <w:right w:val="none" w:sz="0" w:space="0" w:color="auto"/>
      </w:divBdr>
    </w:div>
    <w:div w:id="433403729">
      <w:bodyDiv w:val="1"/>
      <w:marLeft w:val="0"/>
      <w:marRight w:val="0"/>
      <w:marTop w:val="0"/>
      <w:marBottom w:val="0"/>
      <w:divBdr>
        <w:top w:val="none" w:sz="0" w:space="0" w:color="auto"/>
        <w:left w:val="none" w:sz="0" w:space="0" w:color="auto"/>
        <w:bottom w:val="none" w:sz="0" w:space="0" w:color="auto"/>
        <w:right w:val="none" w:sz="0" w:space="0" w:color="auto"/>
      </w:divBdr>
    </w:div>
    <w:div w:id="514269097">
      <w:bodyDiv w:val="1"/>
      <w:marLeft w:val="0"/>
      <w:marRight w:val="0"/>
      <w:marTop w:val="0"/>
      <w:marBottom w:val="0"/>
      <w:divBdr>
        <w:top w:val="none" w:sz="0" w:space="0" w:color="auto"/>
        <w:left w:val="none" w:sz="0" w:space="0" w:color="auto"/>
        <w:bottom w:val="none" w:sz="0" w:space="0" w:color="auto"/>
        <w:right w:val="none" w:sz="0" w:space="0" w:color="auto"/>
      </w:divBdr>
    </w:div>
    <w:div w:id="577831802">
      <w:bodyDiv w:val="1"/>
      <w:marLeft w:val="0"/>
      <w:marRight w:val="0"/>
      <w:marTop w:val="0"/>
      <w:marBottom w:val="0"/>
      <w:divBdr>
        <w:top w:val="none" w:sz="0" w:space="0" w:color="auto"/>
        <w:left w:val="none" w:sz="0" w:space="0" w:color="auto"/>
        <w:bottom w:val="none" w:sz="0" w:space="0" w:color="auto"/>
        <w:right w:val="none" w:sz="0" w:space="0" w:color="auto"/>
      </w:divBdr>
    </w:div>
    <w:div w:id="613286635">
      <w:bodyDiv w:val="1"/>
      <w:marLeft w:val="0"/>
      <w:marRight w:val="0"/>
      <w:marTop w:val="0"/>
      <w:marBottom w:val="0"/>
      <w:divBdr>
        <w:top w:val="none" w:sz="0" w:space="0" w:color="auto"/>
        <w:left w:val="none" w:sz="0" w:space="0" w:color="auto"/>
        <w:bottom w:val="none" w:sz="0" w:space="0" w:color="auto"/>
        <w:right w:val="none" w:sz="0" w:space="0" w:color="auto"/>
      </w:divBdr>
    </w:div>
    <w:div w:id="779838391">
      <w:bodyDiv w:val="1"/>
      <w:marLeft w:val="0"/>
      <w:marRight w:val="0"/>
      <w:marTop w:val="0"/>
      <w:marBottom w:val="0"/>
      <w:divBdr>
        <w:top w:val="none" w:sz="0" w:space="0" w:color="auto"/>
        <w:left w:val="none" w:sz="0" w:space="0" w:color="auto"/>
        <w:bottom w:val="none" w:sz="0" w:space="0" w:color="auto"/>
        <w:right w:val="none" w:sz="0" w:space="0" w:color="auto"/>
      </w:divBdr>
    </w:div>
    <w:div w:id="806632667">
      <w:bodyDiv w:val="1"/>
      <w:marLeft w:val="0"/>
      <w:marRight w:val="0"/>
      <w:marTop w:val="0"/>
      <w:marBottom w:val="0"/>
      <w:divBdr>
        <w:top w:val="none" w:sz="0" w:space="0" w:color="auto"/>
        <w:left w:val="none" w:sz="0" w:space="0" w:color="auto"/>
        <w:bottom w:val="none" w:sz="0" w:space="0" w:color="auto"/>
        <w:right w:val="none" w:sz="0" w:space="0" w:color="auto"/>
      </w:divBdr>
    </w:div>
    <w:div w:id="924386878">
      <w:bodyDiv w:val="1"/>
      <w:marLeft w:val="0"/>
      <w:marRight w:val="0"/>
      <w:marTop w:val="0"/>
      <w:marBottom w:val="0"/>
      <w:divBdr>
        <w:top w:val="none" w:sz="0" w:space="0" w:color="auto"/>
        <w:left w:val="none" w:sz="0" w:space="0" w:color="auto"/>
        <w:bottom w:val="none" w:sz="0" w:space="0" w:color="auto"/>
        <w:right w:val="none" w:sz="0" w:space="0" w:color="auto"/>
      </w:divBdr>
    </w:div>
    <w:div w:id="980304919">
      <w:bodyDiv w:val="1"/>
      <w:marLeft w:val="0"/>
      <w:marRight w:val="0"/>
      <w:marTop w:val="0"/>
      <w:marBottom w:val="0"/>
      <w:divBdr>
        <w:top w:val="none" w:sz="0" w:space="0" w:color="auto"/>
        <w:left w:val="none" w:sz="0" w:space="0" w:color="auto"/>
        <w:bottom w:val="none" w:sz="0" w:space="0" w:color="auto"/>
        <w:right w:val="none" w:sz="0" w:space="0" w:color="auto"/>
      </w:divBdr>
    </w:div>
    <w:div w:id="1001350571">
      <w:bodyDiv w:val="1"/>
      <w:marLeft w:val="0"/>
      <w:marRight w:val="0"/>
      <w:marTop w:val="0"/>
      <w:marBottom w:val="0"/>
      <w:divBdr>
        <w:top w:val="none" w:sz="0" w:space="0" w:color="auto"/>
        <w:left w:val="none" w:sz="0" w:space="0" w:color="auto"/>
        <w:bottom w:val="none" w:sz="0" w:space="0" w:color="auto"/>
        <w:right w:val="none" w:sz="0" w:space="0" w:color="auto"/>
      </w:divBdr>
    </w:div>
    <w:div w:id="1081027745">
      <w:bodyDiv w:val="1"/>
      <w:marLeft w:val="0"/>
      <w:marRight w:val="0"/>
      <w:marTop w:val="0"/>
      <w:marBottom w:val="0"/>
      <w:divBdr>
        <w:top w:val="none" w:sz="0" w:space="0" w:color="auto"/>
        <w:left w:val="none" w:sz="0" w:space="0" w:color="auto"/>
        <w:bottom w:val="none" w:sz="0" w:space="0" w:color="auto"/>
        <w:right w:val="none" w:sz="0" w:space="0" w:color="auto"/>
      </w:divBdr>
    </w:div>
    <w:div w:id="1124739511">
      <w:bodyDiv w:val="1"/>
      <w:marLeft w:val="0"/>
      <w:marRight w:val="0"/>
      <w:marTop w:val="0"/>
      <w:marBottom w:val="0"/>
      <w:divBdr>
        <w:top w:val="none" w:sz="0" w:space="0" w:color="auto"/>
        <w:left w:val="none" w:sz="0" w:space="0" w:color="auto"/>
        <w:bottom w:val="none" w:sz="0" w:space="0" w:color="auto"/>
        <w:right w:val="none" w:sz="0" w:space="0" w:color="auto"/>
      </w:divBdr>
    </w:div>
    <w:div w:id="1129392671">
      <w:bodyDiv w:val="1"/>
      <w:marLeft w:val="0"/>
      <w:marRight w:val="0"/>
      <w:marTop w:val="0"/>
      <w:marBottom w:val="0"/>
      <w:divBdr>
        <w:top w:val="none" w:sz="0" w:space="0" w:color="auto"/>
        <w:left w:val="none" w:sz="0" w:space="0" w:color="auto"/>
        <w:bottom w:val="none" w:sz="0" w:space="0" w:color="auto"/>
        <w:right w:val="none" w:sz="0" w:space="0" w:color="auto"/>
      </w:divBdr>
    </w:div>
    <w:div w:id="1181969755">
      <w:bodyDiv w:val="1"/>
      <w:marLeft w:val="0"/>
      <w:marRight w:val="0"/>
      <w:marTop w:val="0"/>
      <w:marBottom w:val="0"/>
      <w:divBdr>
        <w:top w:val="none" w:sz="0" w:space="0" w:color="auto"/>
        <w:left w:val="none" w:sz="0" w:space="0" w:color="auto"/>
        <w:bottom w:val="none" w:sz="0" w:space="0" w:color="auto"/>
        <w:right w:val="none" w:sz="0" w:space="0" w:color="auto"/>
      </w:divBdr>
    </w:div>
    <w:div w:id="1211259339">
      <w:bodyDiv w:val="1"/>
      <w:marLeft w:val="0"/>
      <w:marRight w:val="0"/>
      <w:marTop w:val="0"/>
      <w:marBottom w:val="0"/>
      <w:divBdr>
        <w:top w:val="none" w:sz="0" w:space="0" w:color="auto"/>
        <w:left w:val="none" w:sz="0" w:space="0" w:color="auto"/>
        <w:bottom w:val="none" w:sz="0" w:space="0" w:color="auto"/>
        <w:right w:val="none" w:sz="0" w:space="0" w:color="auto"/>
      </w:divBdr>
    </w:div>
    <w:div w:id="1225340225">
      <w:bodyDiv w:val="1"/>
      <w:marLeft w:val="0"/>
      <w:marRight w:val="0"/>
      <w:marTop w:val="0"/>
      <w:marBottom w:val="0"/>
      <w:divBdr>
        <w:top w:val="none" w:sz="0" w:space="0" w:color="auto"/>
        <w:left w:val="none" w:sz="0" w:space="0" w:color="auto"/>
        <w:bottom w:val="none" w:sz="0" w:space="0" w:color="auto"/>
        <w:right w:val="none" w:sz="0" w:space="0" w:color="auto"/>
      </w:divBdr>
    </w:div>
    <w:div w:id="1226985947">
      <w:bodyDiv w:val="1"/>
      <w:marLeft w:val="0"/>
      <w:marRight w:val="0"/>
      <w:marTop w:val="0"/>
      <w:marBottom w:val="0"/>
      <w:divBdr>
        <w:top w:val="none" w:sz="0" w:space="0" w:color="auto"/>
        <w:left w:val="none" w:sz="0" w:space="0" w:color="auto"/>
        <w:bottom w:val="none" w:sz="0" w:space="0" w:color="auto"/>
        <w:right w:val="none" w:sz="0" w:space="0" w:color="auto"/>
      </w:divBdr>
    </w:div>
    <w:div w:id="1261522880">
      <w:bodyDiv w:val="1"/>
      <w:marLeft w:val="0"/>
      <w:marRight w:val="0"/>
      <w:marTop w:val="0"/>
      <w:marBottom w:val="0"/>
      <w:divBdr>
        <w:top w:val="none" w:sz="0" w:space="0" w:color="auto"/>
        <w:left w:val="none" w:sz="0" w:space="0" w:color="auto"/>
        <w:bottom w:val="none" w:sz="0" w:space="0" w:color="auto"/>
        <w:right w:val="none" w:sz="0" w:space="0" w:color="auto"/>
      </w:divBdr>
    </w:div>
    <w:div w:id="1267034341">
      <w:bodyDiv w:val="1"/>
      <w:marLeft w:val="0"/>
      <w:marRight w:val="0"/>
      <w:marTop w:val="0"/>
      <w:marBottom w:val="0"/>
      <w:divBdr>
        <w:top w:val="none" w:sz="0" w:space="0" w:color="auto"/>
        <w:left w:val="none" w:sz="0" w:space="0" w:color="auto"/>
        <w:bottom w:val="none" w:sz="0" w:space="0" w:color="auto"/>
        <w:right w:val="none" w:sz="0" w:space="0" w:color="auto"/>
      </w:divBdr>
    </w:div>
    <w:div w:id="1281647093">
      <w:bodyDiv w:val="1"/>
      <w:marLeft w:val="0"/>
      <w:marRight w:val="0"/>
      <w:marTop w:val="0"/>
      <w:marBottom w:val="0"/>
      <w:divBdr>
        <w:top w:val="none" w:sz="0" w:space="0" w:color="auto"/>
        <w:left w:val="none" w:sz="0" w:space="0" w:color="auto"/>
        <w:bottom w:val="none" w:sz="0" w:space="0" w:color="auto"/>
        <w:right w:val="none" w:sz="0" w:space="0" w:color="auto"/>
      </w:divBdr>
    </w:div>
    <w:div w:id="1339044452">
      <w:bodyDiv w:val="1"/>
      <w:marLeft w:val="0"/>
      <w:marRight w:val="0"/>
      <w:marTop w:val="0"/>
      <w:marBottom w:val="0"/>
      <w:divBdr>
        <w:top w:val="none" w:sz="0" w:space="0" w:color="auto"/>
        <w:left w:val="none" w:sz="0" w:space="0" w:color="auto"/>
        <w:bottom w:val="none" w:sz="0" w:space="0" w:color="auto"/>
        <w:right w:val="none" w:sz="0" w:space="0" w:color="auto"/>
      </w:divBdr>
    </w:div>
    <w:div w:id="1344361161">
      <w:bodyDiv w:val="1"/>
      <w:marLeft w:val="0"/>
      <w:marRight w:val="0"/>
      <w:marTop w:val="0"/>
      <w:marBottom w:val="0"/>
      <w:divBdr>
        <w:top w:val="none" w:sz="0" w:space="0" w:color="auto"/>
        <w:left w:val="none" w:sz="0" w:space="0" w:color="auto"/>
        <w:bottom w:val="none" w:sz="0" w:space="0" w:color="auto"/>
        <w:right w:val="none" w:sz="0" w:space="0" w:color="auto"/>
      </w:divBdr>
    </w:div>
    <w:div w:id="1381397634">
      <w:bodyDiv w:val="1"/>
      <w:marLeft w:val="0"/>
      <w:marRight w:val="0"/>
      <w:marTop w:val="0"/>
      <w:marBottom w:val="0"/>
      <w:divBdr>
        <w:top w:val="none" w:sz="0" w:space="0" w:color="auto"/>
        <w:left w:val="none" w:sz="0" w:space="0" w:color="auto"/>
        <w:bottom w:val="none" w:sz="0" w:space="0" w:color="auto"/>
        <w:right w:val="none" w:sz="0" w:space="0" w:color="auto"/>
      </w:divBdr>
    </w:div>
    <w:div w:id="1461806719">
      <w:bodyDiv w:val="1"/>
      <w:marLeft w:val="0"/>
      <w:marRight w:val="0"/>
      <w:marTop w:val="0"/>
      <w:marBottom w:val="0"/>
      <w:divBdr>
        <w:top w:val="none" w:sz="0" w:space="0" w:color="auto"/>
        <w:left w:val="none" w:sz="0" w:space="0" w:color="auto"/>
        <w:bottom w:val="none" w:sz="0" w:space="0" w:color="auto"/>
        <w:right w:val="none" w:sz="0" w:space="0" w:color="auto"/>
      </w:divBdr>
    </w:div>
    <w:div w:id="1504584876">
      <w:bodyDiv w:val="1"/>
      <w:marLeft w:val="0"/>
      <w:marRight w:val="0"/>
      <w:marTop w:val="0"/>
      <w:marBottom w:val="0"/>
      <w:divBdr>
        <w:top w:val="none" w:sz="0" w:space="0" w:color="auto"/>
        <w:left w:val="none" w:sz="0" w:space="0" w:color="auto"/>
        <w:bottom w:val="none" w:sz="0" w:space="0" w:color="auto"/>
        <w:right w:val="none" w:sz="0" w:space="0" w:color="auto"/>
      </w:divBdr>
    </w:div>
    <w:div w:id="1563253198">
      <w:bodyDiv w:val="1"/>
      <w:marLeft w:val="0"/>
      <w:marRight w:val="0"/>
      <w:marTop w:val="0"/>
      <w:marBottom w:val="0"/>
      <w:divBdr>
        <w:top w:val="none" w:sz="0" w:space="0" w:color="auto"/>
        <w:left w:val="none" w:sz="0" w:space="0" w:color="auto"/>
        <w:bottom w:val="none" w:sz="0" w:space="0" w:color="auto"/>
        <w:right w:val="none" w:sz="0" w:space="0" w:color="auto"/>
      </w:divBdr>
    </w:div>
    <w:div w:id="1567454892">
      <w:bodyDiv w:val="1"/>
      <w:marLeft w:val="0"/>
      <w:marRight w:val="0"/>
      <w:marTop w:val="0"/>
      <w:marBottom w:val="0"/>
      <w:divBdr>
        <w:top w:val="none" w:sz="0" w:space="0" w:color="auto"/>
        <w:left w:val="none" w:sz="0" w:space="0" w:color="auto"/>
        <w:bottom w:val="none" w:sz="0" w:space="0" w:color="auto"/>
        <w:right w:val="none" w:sz="0" w:space="0" w:color="auto"/>
      </w:divBdr>
    </w:div>
    <w:div w:id="1595554576">
      <w:bodyDiv w:val="1"/>
      <w:marLeft w:val="0"/>
      <w:marRight w:val="0"/>
      <w:marTop w:val="0"/>
      <w:marBottom w:val="0"/>
      <w:divBdr>
        <w:top w:val="none" w:sz="0" w:space="0" w:color="auto"/>
        <w:left w:val="none" w:sz="0" w:space="0" w:color="auto"/>
        <w:bottom w:val="none" w:sz="0" w:space="0" w:color="auto"/>
        <w:right w:val="none" w:sz="0" w:space="0" w:color="auto"/>
      </w:divBdr>
    </w:div>
    <w:div w:id="1681809999">
      <w:bodyDiv w:val="1"/>
      <w:marLeft w:val="0"/>
      <w:marRight w:val="0"/>
      <w:marTop w:val="0"/>
      <w:marBottom w:val="0"/>
      <w:divBdr>
        <w:top w:val="none" w:sz="0" w:space="0" w:color="auto"/>
        <w:left w:val="none" w:sz="0" w:space="0" w:color="auto"/>
        <w:bottom w:val="none" w:sz="0" w:space="0" w:color="auto"/>
        <w:right w:val="none" w:sz="0" w:space="0" w:color="auto"/>
      </w:divBdr>
    </w:div>
    <w:div w:id="1683967606">
      <w:bodyDiv w:val="1"/>
      <w:marLeft w:val="0"/>
      <w:marRight w:val="0"/>
      <w:marTop w:val="0"/>
      <w:marBottom w:val="0"/>
      <w:divBdr>
        <w:top w:val="none" w:sz="0" w:space="0" w:color="auto"/>
        <w:left w:val="none" w:sz="0" w:space="0" w:color="auto"/>
        <w:bottom w:val="none" w:sz="0" w:space="0" w:color="auto"/>
        <w:right w:val="none" w:sz="0" w:space="0" w:color="auto"/>
      </w:divBdr>
    </w:div>
    <w:div w:id="1895694930">
      <w:bodyDiv w:val="1"/>
      <w:marLeft w:val="0"/>
      <w:marRight w:val="0"/>
      <w:marTop w:val="0"/>
      <w:marBottom w:val="0"/>
      <w:divBdr>
        <w:top w:val="none" w:sz="0" w:space="0" w:color="auto"/>
        <w:left w:val="none" w:sz="0" w:space="0" w:color="auto"/>
        <w:bottom w:val="none" w:sz="0" w:space="0" w:color="auto"/>
        <w:right w:val="none" w:sz="0" w:space="0" w:color="auto"/>
      </w:divBdr>
    </w:div>
    <w:div w:id="1918325459">
      <w:bodyDiv w:val="1"/>
      <w:marLeft w:val="0"/>
      <w:marRight w:val="0"/>
      <w:marTop w:val="0"/>
      <w:marBottom w:val="0"/>
      <w:divBdr>
        <w:top w:val="none" w:sz="0" w:space="0" w:color="auto"/>
        <w:left w:val="none" w:sz="0" w:space="0" w:color="auto"/>
        <w:bottom w:val="none" w:sz="0" w:space="0" w:color="auto"/>
        <w:right w:val="none" w:sz="0" w:space="0" w:color="auto"/>
      </w:divBdr>
    </w:div>
    <w:div w:id="1944072130">
      <w:bodyDiv w:val="1"/>
      <w:marLeft w:val="0"/>
      <w:marRight w:val="0"/>
      <w:marTop w:val="0"/>
      <w:marBottom w:val="0"/>
      <w:divBdr>
        <w:top w:val="none" w:sz="0" w:space="0" w:color="auto"/>
        <w:left w:val="none" w:sz="0" w:space="0" w:color="auto"/>
        <w:bottom w:val="none" w:sz="0" w:space="0" w:color="auto"/>
        <w:right w:val="none" w:sz="0" w:space="0" w:color="auto"/>
      </w:divBdr>
    </w:div>
    <w:div w:id="1944261840">
      <w:bodyDiv w:val="1"/>
      <w:marLeft w:val="0"/>
      <w:marRight w:val="0"/>
      <w:marTop w:val="0"/>
      <w:marBottom w:val="0"/>
      <w:divBdr>
        <w:top w:val="none" w:sz="0" w:space="0" w:color="auto"/>
        <w:left w:val="none" w:sz="0" w:space="0" w:color="auto"/>
        <w:bottom w:val="none" w:sz="0" w:space="0" w:color="auto"/>
        <w:right w:val="none" w:sz="0" w:space="0" w:color="auto"/>
      </w:divBdr>
    </w:div>
    <w:div w:id="1949846566">
      <w:bodyDiv w:val="1"/>
      <w:marLeft w:val="0"/>
      <w:marRight w:val="0"/>
      <w:marTop w:val="0"/>
      <w:marBottom w:val="0"/>
      <w:divBdr>
        <w:top w:val="none" w:sz="0" w:space="0" w:color="auto"/>
        <w:left w:val="none" w:sz="0" w:space="0" w:color="auto"/>
        <w:bottom w:val="none" w:sz="0" w:space="0" w:color="auto"/>
        <w:right w:val="none" w:sz="0" w:space="0" w:color="auto"/>
      </w:divBdr>
    </w:div>
    <w:div w:id="2000378364">
      <w:bodyDiv w:val="1"/>
      <w:marLeft w:val="0"/>
      <w:marRight w:val="0"/>
      <w:marTop w:val="0"/>
      <w:marBottom w:val="0"/>
      <w:divBdr>
        <w:top w:val="none" w:sz="0" w:space="0" w:color="auto"/>
        <w:left w:val="none" w:sz="0" w:space="0" w:color="auto"/>
        <w:bottom w:val="none" w:sz="0" w:space="0" w:color="auto"/>
        <w:right w:val="none" w:sz="0" w:space="0" w:color="auto"/>
      </w:divBdr>
    </w:div>
    <w:div w:id="2036272097">
      <w:bodyDiv w:val="1"/>
      <w:marLeft w:val="0"/>
      <w:marRight w:val="0"/>
      <w:marTop w:val="0"/>
      <w:marBottom w:val="0"/>
      <w:divBdr>
        <w:top w:val="none" w:sz="0" w:space="0" w:color="auto"/>
        <w:left w:val="none" w:sz="0" w:space="0" w:color="auto"/>
        <w:bottom w:val="none" w:sz="0" w:space="0" w:color="auto"/>
        <w:right w:val="none" w:sz="0" w:space="0" w:color="auto"/>
      </w:divBdr>
    </w:div>
    <w:div w:id="2046320918">
      <w:bodyDiv w:val="1"/>
      <w:marLeft w:val="0"/>
      <w:marRight w:val="0"/>
      <w:marTop w:val="0"/>
      <w:marBottom w:val="0"/>
      <w:divBdr>
        <w:top w:val="none" w:sz="0" w:space="0" w:color="auto"/>
        <w:left w:val="none" w:sz="0" w:space="0" w:color="auto"/>
        <w:bottom w:val="none" w:sz="0" w:space="0" w:color="auto"/>
        <w:right w:val="none" w:sz="0" w:space="0" w:color="auto"/>
      </w:divBdr>
    </w:div>
    <w:div w:id="2049447065">
      <w:bodyDiv w:val="1"/>
      <w:marLeft w:val="0"/>
      <w:marRight w:val="0"/>
      <w:marTop w:val="0"/>
      <w:marBottom w:val="0"/>
      <w:divBdr>
        <w:top w:val="none" w:sz="0" w:space="0" w:color="auto"/>
        <w:left w:val="none" w:sz="0" w:space="0" w:color="auto"/>
        <w:bottom w:val="none" w:sz="0" w:space="0" w:color="auto"/>
        <w:right w:val="none" w:sz="0" w:space="0" w:color="auto"/>
      </w:divBdr>
    </w:div>
    <w:div w:id="2052801417">
      <w:bodyDiv w:val="1"/>
      <w:marLeft w:val="0"/>
      <w:marRight w:val="0"/>
      <w:marTop w:val="0"/>
      <w:marBottom w:val="0"/>
      <w:divBdr>
        <w:top w:val="none" w:sz="0" w:space="0" w:color="auto"/>
        <w:left w:val="none" w:sz="0" w:space="0" w:color="auto"/>
        <w:bottom w:val="none" w:sz="0" w:space="0" w:color="auto"/>
        <w:right w:val="none" w:sz="0" w:space="0" w:color="auto"/>
      </w:divBdr>
    </w:div>
    <w:div w:id="2088990383">
      <w:bodyDiv w:val="1"/>
      <w:marLeft w:val="0"/>
      <w:marRight w:val="0"/>
      <w:marTop w:val="0"/>
      <w:marBottom w:val="0"/>
      <w:divBdr>
        <w:top w:val="none" w:sz="0" w:space="0" w:color="auto"/>
        <w:left w:val="none" w:sz="0" w:space="0" w:color="auto"/>
        <w:bottom w:val="none" w:sz="0" w:space="0" w:color="auto"/>
        <w:right w:val="none" w:sz="0" w:space="0" w:color="auto"/>
      </w:divBdr>
    </w:div>
    <w:div w:id="209316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image" Target="media/image19.emf"/><Relationship Id="rId39" Type="http://schemas.openxmlformats.org/officeDocument/2006/relationships/image" Target="media/image32.emf"/><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footer" Target="footer1.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theme" Target="theme/theme1.xml"/><Relationship Id="rId20" Type="http://schemas.openxmlformats.org/officeDocument/2006/relationships/image" Target="media/image13.emf"/><Relationship Id="rId41" Type="http://schemas.openxmlformats.org/officeDocument/2006/relationships/image" Target="media/image34.emf"/></Relationships>
</file>

<file path=word/_rels/header1.xml.rels><?xml version="1.0" encoding="UTF-8" standalone="yes"?>
<Relationships xmlns="http://schemas.openxmlformats.org/package/2006/relationships"><Relationship Id="rId1" Type="http://schemas.openxmlformats.org/officeDocument/2006/relationships/image" Target="media/image3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166882-32C1-47BA-8705-5FCF458BE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35</Pages>
  <Words>6970</Words>
  <Characters>38098</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Nota 1</vt:lpstr>
    </vt:vector>
  </TitlesOfParts>
  <Company>Instituto de Cultura de Yucatán</Company>
  <LinksUpToDate>false</LinksUpToDate>
  <CharactersWithSpaces>44979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1</dc:title>
  <dc:creator>sabino.cruz</dc:creator>
  <cp:lastModifiedBy>figarosy1</cp:lastModifiedBy>
  <cp:revision>4</cp:revision>
  <cp:lastPrinted>2021-07-15T01:50:00Z</cp:lastPrinted>
  <dcterms:created xsi:type="dcterms:W3CDTF">2022-06-13T15:29:00Z</dcterms:created>
  <dcterms:modified xsi:type="dcterms:W3CDTF">2022-06-13T15:44:00Z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-278733015</vt:i4>
  </property>
</Properties>
</file>