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51" w:rsidRPr="00734675" w:rsidRDefault="00A47351" w:rsidP="00D17245">
      <w:pPr>
        <w:ind w:left="2124" w:hanging="2124"/>
        <w:jc w:val="both"/>
        <w:rPr>
          <w:rFonts w:ascii="Calibri" w:hAnsi="Calibri"/>
          <w:sz w:val="20"/>
          <w:szCs w:val="20"/>
        </w:rPr>
      </w:pPr>
      <w:r w:rsidRPr="00734675">
        <w:rPr>
          <w:rFonts w:ascii="Calibri" w:hAnsi="Calibri"/>
          <w:sz w:val="20"/>
          <w:szCs w:val="20"/>
        </w:rPr>
        <w:t>Con el propósito de dar cumplimiento a los artículos 44, 45, 46, 47, 49, 52 y 53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A47351" w:rsidRPr="00734675" w:rsidRDefault="00D04CEF" w:rsidP="00D04CEF">
      <w:pPr>
        <w:tabs>
          <w:tab w:val="left" w:pos="5520"/>
        </w:tabs>
        <w:ind w:left="5520" w:hanging="5520"/>
        <w:rPr>
          <w:rFonts w:ascii="Calibri" w:hAnsi="Calibri"/>
          <w:b/>
          <w:sz w:val="20"/>
          <w:szCs w:val="20"/>
        </w:rPr>
      </w:pPr>
      <w:r w:rsidRPr="00734675">
        <w:rPr>
          <w:rFonts w:ascii="Calibri" w:hAnsi="Calibri"/>
          <w:b/>
          <w:sz w:val="20"/>
          <w:szCs w:val="20"/>
        </w:rPr>
        <w:tab/>
      </w:r>
    </w:p>
    <w:p w:rsidR="00A47351" w:rsidRPr="00734675" w:rsidRDefault="00A47351" w:rsidP="00A47351">
      <w:pPr>
        <w:rPr>
          <w:rFonts w:ascii="Calibri" w:hAnsi="Calibri"/>
          <w:sz w:val="20"/>
          <w:szCs w:val="20"/>
        </w:rPr>
      </w:pPr>
      <w:r w:rsidRPr="00734675">
        <w:rPr>
          <w:rFonts w:ascii="Calibri" w:hAnsi="Calibri"/>
          <w:sz w:val="20"/>
          <w:szCs w:val="20"/>
        </w:rPr>
        <w:t>A continuación se presenta los tres tipos de notas que acompañan a los estados, a saber:</w:t>
      </w:r>
    </w:p>
    <w:p w:rsidR="00A47351" w:rsidRPr="00734675" w:rsidRDefault="00A47351" w:rsidP="00A47351">
      <w:pPr>
        <w:tabs>
          <w:tab w:val="left" w:pos="567"/>
        </w:tabs>
        <w:rPr>
          <w:rFonts w:ascii="Calibri" w:hAnsi="Calibri"/>
          <w:sz w:val="20"/>
          <w:szCs w:val="20"/>
        </w:rPr>
      </w:pPr>
    </w:p>
    <w:p w:rsidR="00A47351" w:rsidRPr="00734675" w:rsidRDefault="00A47351" w:rsidP="00A47351">
      <w:pPr>
        <w:pStyle w:val="Prrafodelista"/>
        <w:numPr>
          <w:ilvl w:val="0"/>
          <w:numId w:val="14"/>
        </w:numPr>
        <w:tabs>
          <w:tab w:val="left" w:pos="284"/>
        </w:tabs>
        <w:ind w:left="0" w:firstLine="0"/>
        <w:rPr>
          <w:rFonts w:ascii="Calibri" w:hAnsi="Calibri"/>
          <w:sz w:val="20"/>
          <w:szCs w:val="20"/>
        </w:rPr>
      </w:pPr>
      <w:r w:rsidRPr="00734675">
        <w:rPr>
          <w:rFonts w:ascii="Calibri" w:hAnsi="Calibri"/>
          <w:sz w:val="20"/>
          <w:szCs w:val="20"/>
        </w:rPr>
        <w:t xml:space="preserve">Notas de desglose, </w:t>
      </w:r>
    </w:p>
    <w:p w:rsidR="00A47351" w:rsidRPr="00734675" w:rsidRDefault="00A47351" w:rsidP="00A47351">
      <w:pPr>
        <w:pStyle w:val="Prrafodelista"/>
        <w:numPr>
          <w:ilvl w:val="0"/>
          <w:numId w:val="14"/>
        </w:numPr>
        <w:tabs>
          <w:tab w:val="left" w:pos="284"/>
        </w:tabs>
        <w:ind w:left="0" w:firstLine="0"/>
        <w:rPr>
          <w:rFonts w:ascii="Calibri" w:hAnsi="Calibri"/>
          <w:sz w:val="20"/>
          <w:szCs w:val="20"/>
        </w:rPr>
      </w:pPr>
      <w:r w:rsidRPr="00734675">
        <w:rPr>
          <w:rFonts w:ascii="Calibri" w:hAnsi="Calibri"/>
          <w:sz w:val="20"/>
          <w:szCs w:val="20"/>
        </w:rPr>
        <w:t>Notas de memoria, y</w:t>
      </w:r>
    </w:p>
    <w:p w:rsidR="00A47351" w:rsidRPr="00734675" w:rsidRDefault="00A47351" w:rsidP="00A47351">
      <w:pPr>
        <w:pStyle w:val="Prrafodelista"/>
        <w:numPr>
          <w:ilvl w:val="0"/>
          <w:numId w:val="14"/>
        </w:numPr>
        <w:tabs>
          <w:tab w:val="left" w:pos="284"/>
        </w:tabs>
        <w:ind w:left="0" w:firstLine="0"/>
        <w:rPr>
          <w:rFonts w:ascii="Calibri" w:hAnsi="Calibri"/>
          <w:sz w:val="20"/>
          <w:szCs w:val="20"/>
        </w:rPr>
      </w:pPr>
      <w:r w:rsidRPr="00734675">
        <w:rPr>
          <w:rFonts w:ascii="Calibri" w:hAnsi="Calibri"/>
          <w:sz w:val="20"/>
          <w:szCs w:val="20"/>
        </w:rPr>
        <w:t>Notas de gestión administrativa.</w:t>
      </w:r>
    </w:p>
    <w:p w:rsidR="00A47351" w:rsidRPr="00734675" w:rsidRDefault="00A47351" w:rsidP="00A47351">
      <w:pPr>
        <w:pStyle w:val="Textoindependiente2"/>
        <w:tabs>
          <w:tab w:val="left" w:pos="7965"/>
        </w:tabs>
        <w:rPr>
          <w:rFonts w:ascii="Calibri" w:hAnsi="Calibri"/>
          <w:sz w:val="20"/>
          <w:szCs w:val="20"/>
        </w:rPr>
      </w:pPr>
      <w:r w:rsidRPr="00734675">
        <w:rPr>
          <w:rFonts w:ascii="Calibri" w:hAnsi="Calibri"/>
          <w:sz w:val="20"/>
          <w:szCs w:val="20"/>
        </w:rPr>
        <w:tab/>
      </w:r>
    </w:p>
    <w:p w:rsidR="00A47351" w:rsidRPr="00734675" w:rsidRDefault="00A47351" w:rsidP="00A47351">
      <w:pPr>
        <w:pStyle w:val="Prrafodelista"/>
        <w:numPr>
          <w:ilvl w:val="0"/>
          <w:numId w:val="15"/>
        </w:numPr>
        <w:ind w:left="284" w:hanging="284"/>
        <w:rPr>
          <w:rFonts w:ascii="Calibri" w:hAnsi="Calibri"/>
          <w:b/>
          <w:sz w:val="20"/>
          <w:szCs w:val="20"/>
        </w:rPr>
      </w:pPr>
      <w:r w:rsidRPr="00734675">
        <w:rPr>
          <w:rFonts w:ascii="Calibri" w:hAnsi="Calibri"/>
          <w:b/>
          <w:sz w:val="20"/>
          <w:szCs w:val="20"/>
        </w:rPr>
        <w:t>NOTAS DE DESGLOSE.</w:t>
      </w:r>
    </w:p>
    <w:p w:rsidR="00A47351" w:rsidRPr="00734675" w:rsidRDefault="00A47351" w:rsidP="00A47351">
      <w:pPr>
        <w:pStyle w:val="Textoindependiente2"/>
        <w:tabs>
          <w:tab w:val="left" w:pos="7965"/>
        </w:tabs>
        <w:rPr>
          <w:rFonts w:ascii="Calibri" w:hAnsi="Calibri"/>
          <w:sz w:val="20"/>
          <w:szCs w:val="20"/>
        </w:rPr>
      </w:pPr>
    </w:p>
    <w:p w:rsidR="00A47351" w:rsidRPr="00734675" w:rsidRDefault="00A47351" w:rsidP="00A47351">
      <w:pPr>
        <w:pStyle w:val="Prrafodelista"/>
        <w:numPr>
          <w:ilvl w:val="0"/>
          <w:numId w:val="19"/>
        </w:numPr>
        <w:tabs>
          <w:tab w:val="left" w:pos="426"/>
        </w:tabs>
        <w:ind w:left="0" w:firstLine="0"/>
        <w:rPr>
          <w:rFonts w:ascii="Calibri" w:hAnsi="Calibri"/>
          <w:b/>
          <w:sz w:val="20"/>
          <w:szCs w:val="20"/>
        </w:rPr>
      </w:pPr>
      <w:r w:rsidRPr="00734675">
        <w:rPr>
          <w:rFonts w:ascii="Calibri" w:hAnsi="Calibri"/>
          <w:b/>
          <w:sz w:val="20"/>
          <w:szCs w:val="20"/>
        </w:rPr>
        <w:t>NOTAS AL ESTADO DE SITUACIÓN FINANCIERA.</w:t>
      </w:r>
    </w:p>
    <w:p w:rsidR="00A47351" w:rsidRPr="00734675" w:rsidRDefault="00A47351" w:rsidP="00A47351">
      <w:pPr>
        <w:tabs>
          <w:tab w:val="left" w:pos="426"/>
        </w:tabs>
        <w:rPr>
          <w:rFonts w:ascii="Calibri" w:hAnsi="Calibri"/>
          <w:b/>
          <w:sz w:val="20"/>
          <w:szCs w:val="20"/>
        </w:rPr>
      </w:pPr>
    </w:p>
    <w:p w:rsidR="00A47351" w:rsidRPr="00734675" w:rsidRDefault="00A47351" w:rsidP="00A47351">
      <w:pPr>
        <w:tabs>
          <w:tab w:val="left" w:pos="426"/>
          <w:tab w:val="left" w:pos="567"/>
        </w:tabs>
        <w:rPr>
          <w:rFonts w:ascii="Calibri" w:hAnsi="Calibri"/>
          <w:b/>
          <w:sz w:val="20"/>
          <w:szCs w:val="20"/>
        </w:rPr>
      </w:pPr>
      <w:r w:rsidRPr="00734675">
        <w:rPr>
          <w:rFonts w:ascii="Calibri" w:hAnsi="Calibri"/>
          <w:b/>
          <w:sz w:val="20"/>
          <w:szCs w:val="20"/>
        </w:rPr>
        <w:t>1.1  Activo</w:t>
      </w:r>
    </w:p>
    <w:p w:rsidR="00A47351" w:rsidRPr="00734675" w:rsidRDefault="00A47351" w:rsidP="00A47351">
      <w:pPr>
        <w:tabs>
          <w:tab w:val="left" w:pos="426"/>
        </w:tabs>
        <w:rPr>
          <w:rFonts w:ascii="Calibri" w:hAnsi="Calibri"/>
          <w:b/>
          <w:sz w:val="20"/>
          <w:szCs w:val="20"/>
        </w:rPr>
      </w:pPr>
    </w:p>
    <w:p w:rsidR="00A47351" w:rsidRPr="00734675" w:rsidRDefault="00A47351" w:rsidP="00A47351">
      <w:pPr>
        <w:pStyle w:val="Prrafodelista"/>
        <w:tabs>
          <w:tab w:val="left" w:pos="426"/>
        </w:tabs>
        <w:ind w:left="0"/>
        <w:rPr>
          <w:rFonts w:ascii="Calibri" w:hAnsi="Calibri"/>
          <w:b/>
          <w:sz w:val="20"/>
          <w:szCs w:val="20"/>
        </w:rPr>
      </w:pPr>
      <w:r w:rsidRPr="00734675">
        <w:rPr>
          <w:rFonts w:ascii="Calibri" w:hAnsi="Calibri"/>
          <w:b/>
          <w:sz w:val="20"/>
          <w:szCs w:val="20"/>
        </w:rPr>
        <w:t>1.1.1 Efectivo  y equivalentes.</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El rubro de Efectivo y equivalente de efectivo </w:t>
      </w:r>
      <w:r w:rsidR="00F66D6B" w:rsidRPr="00734675">
        <w:rPr>
          <w:rFonts w:ascii="Calibri" w:hAnsi="Calibri"/>
          <w:sz w:val="20"/>
          <w:szCs w:val="20"/>
        </w:rPr>
        <w:t>al</w:t>
      </w:r>
      <w:r w:rsidR="001B7FE1" w:rsidRPr="00734675">
        <w:rPr>
          <w:rFonts w:ascii="Calibri" w:hAnsi="Calibri"/>
          <w:sz w:val="20"/>
          <w:szCs w:val="20"/>
        </w:rPr>
        <w:t xml:space="preserve"> 28 de febrero de 2022</w:t>
      </w:r>
      <w:r w:rsidRPr="00734675">
        <w:rPr>
          <w:rFonts w:ascii="Calibri" w:hAnsi="Calibri"/>
          <w:sz w:val="20"/>
          <w:szCs w:val="20"/>
        </w:rPr>
        <w:t>, se encuentra integrado de la siguiente manera:</w:t>
      </w:r>
    </w:p>
    <w:p w:rsidR="00CE2F1B" w:rsidRPr="00734675" w:rsidRDefault="00CE2F1B" w:rsidP="00A47351">
      <w:pPr>
        <w:pStyle w:val="Prrafodelista"/>
        <w:tabs>
          <w:tab w:val="left" w:pos="426"/>
        </w:tabs>
        <w:ind w:left="0"/>
        <w:jc w:val="both"/>
        <w:rPr>
          <w:rFonts w:ascii="Calibri" w:hAnsi="Calibri"/>
          <w:sz w:val="20"/>
          <w:szCs w:val="20"/>
        </w:rPr>
      </w:pPr>
    </w:p>
    <w:p w:rsidR="00CE2F1B" w:rsidRPr="00734675" w:rsidRDefault="00CE2F1B" w:rsidP="00CE2F1B">
      <w:pPr>
        <w:pStyle w:val="Prrafodelista"/>
        <w:tabs>
          <w:tab w:val="left" w:pos="426"/>
        </w:tabs>
        <w:ind w:left="0"/>
        <w:jc w:val="center"/>
        <w:rPr>
          <w:rFonts w:ascii="Calibri" w:hAnsi="Calibri"/>
          <w:sz w:val="20"/>
          <w:szCs w:val="20"/>
        </w:rPr>
      </w:pPr>
    </w:p>
    <w:p w:rsidR="00CE2F1B" w:rsidRPr="00734675" w:rsidRDefault="00263BCA" w:rsidP="001B7FE1">
      <w:pPr>
        <w:pStyle w:val="Prrafodelista"/>
        <w:tabs>
          <w:tab w:val="left" w:pos="426"/>
        </w:tabs>
        <w:ind w:left="0"/>
        <w:jc w:val="center"/>
        <w:rPr>
          <w:rFonts w:ascii="Calibri" w:hAnsi="Calibri"/>
          <w:sz w:val="20"/>
          <w:szCs w:val="20"/>
        </w:rPr>
      </w:pPr>
      <w:r w:rsidRPr="00734675">
        <w:rPr>
          <w:noProof/>
          <w:lang w:eastAsia="es-MX"/>
        </w:rPr>
        <w:drawing>
          <wp:inline distT="0" distB="0" distL="0" distR="0">
            <wp:extent cx="4514850" cy="1181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181100"/>
                    </a:xfrm>
                    <a:prstGeom prst="rect">
                      <a:avLst/>
                    </a:prstGeom>
                    <a:noFill/>
                    <a:ln>
                      <a:noFill/>
                    </a:ln>
                  </pic:spPr>
                </pic:pic>
              </a:graphicData>
            </a:graphic>
          </wp:inline>
        </w:drawing>
      </w:r>
    </w:p>
    <w:p w:rsidR="008749CD" w:rsidRPr="00734675" w:rsidRDefault="008749CD" w:rsidP="008749CD">
      <w:pPr>
        <w:pStyle w:val="Prrafodelista"/>
        <w:tabs>
          <w:tab w:val="left" w:pos="426"/>
        </w:tabs>
        <w:ind w:left="0"/>
        <w:jc w:val="center"/>
        <w:rPr>
          <w:rFonts w:ascii="Calibri" w:hAnsi="Calibri"/>
          <w:sz w:val="20"/>
          <w:szCs w:val="20"/>
        </w:rPr>
      </w:pPr>
    </w:p>
    <w:p w:rsidR="00A47351" w:rsidRPr="00734675" w:rsidRDefault="00A47351" w:rsidP="00A47351">
      <w:pPr>
        <w:pStyle w:val="Prrafodelista"/>
        <w:tabs>
          <w:tab w:val="left" w:pos="284"/>
        </w:tabs>
        <w:ind w:left="0"/>
        <w:rPr>
          <w:rFonts w:ascii="Calibri" w:hAnsi="Calibri"/>
          <w:sz w:val="20"/>
          <w:szCs w:val="20"/>
        </w:rPr>
      </w:pPr>
      <w:r w:rsidRPr="00734675">
        <w:rPr>
          <w:rFonts w:ascii="Calibri" w:hAnsi="Calibri"/>
          <w:b/>
          <w:sz w:val="20"/>
          <w:szCs w:val="20"/>
        </w:rPr>
        <w:t>1.1.1.2</w:t>
      </w:r>
      <w:r w:rsidRPr="00734675">
        <w:rPr>
          <w:rFonts w:ascii="Calibri" w:hAnsi="Calibri"/>
          <w:sz w:val="20"/>
          <w:szCs w:val="20"/>
        </w:rPr>
        <w:t xml:space="preserve"> La cuenta de bancos se encuentra integrada de la siguiente manera:</w:t>
      </w:r>
    </w:p>
    <w:p w:rsidR="00CE2F1B" w:rsidRPr="00734675" w:rsidRDefault="00CE2F1B" w:rsidP="00A47351">
      <w:pPr>
        <w:pStyle w:val="Prrafodelista"/>
        <w:tabs>
          <w:tab w:val="left" w:pos="284"/>
        </w:tabs>
        <w:ind w:left="0"/>
        <w:rPr>
          <w:rFonts w:ascii="Calibri" w:hAnsi="Calibri"/>
          <w:sz w:val="20"/>
          <w:szCs w:val="20"/>
        </w:rPr>
      </w:pPr>
    </w:p>
    <w:p w:rsidR="00CE2F1B" w:rsidRPr="00734675" w:rsidRDefault="00CE2F1B" w:rsidP="00CE2F1B">
      <w:pPr>
        <w:pStyle w:val="Prrafodelista"/>
        <w:tabs>
          <w:tab w:val="left" w:pos="284"/>
        </w:tabs>
        <w:ind w:left="0"/>
        <w:jc w:val="center"/>
        <w:rPr>
          <w:rFonts w:ascii="Calibri" w:hAnsi="Calibri"/>
          <w:sz w:val="20"/>
          <w:szCs w:val="20"/>
        </w:rPr>
      </w:pPr>
    </w:p>
    <w:p w:rsidR="00A47351" w:rsidRPr="00734675" w:rsidRDefault="001B7FE1" w:rsidP="001B7FE1">
      <w:pPr>
        <w:pStyle w:val="Prrafodelista"/>
        <w:jc w:val="center"/>
        <w:rPr>
          <w:rFonts w:ascii="Calibri" w:hAnsi="Calibri"/>
          <w:sz w:val="20"/>
          <w:szCs w:val="20"/>
        </w:rPr>
      </w:pPr>
      <w:r w:rsidRPr="00734675">
        <w:rPr>
          <w:noProof/>
          <w:lang w:eastAsia="es-MX"/>
        </w:rPr>
        <w:drawing>
          <wp:inline distT="0" distB="0" distL="0" distR="0">
            <wp:extent cx="4410075" cy="15430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543050"/>
                    </a:xfrm>
                    <a:prstGeom prst="rect">
                      <a:avLst/>
                    </a:prstGeom>
                    <a:noFill/>
                    <a:ln>
                      <a:noFill/>
                    </a:ln>
                  </pic:spPr>
                </pic:pic>
              </a:graphicData>
            </a:graphic>
          </wp:inline>
        </w:drawing>
      </w:r>
    </w:p>
    <w:p w:rsidR="005B5C4B" w:rsidRPr="00734675" w:rsidRDefault="005B5C4B" w:rsidP="00A47351">
      <w:pPr>
        <w:pStyle w:val="Prrafodelista"/>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734675">
        <w:rPr>
          <w:rFonts w:ascii="Calibri" w:hAnsi="Calibri"/>
          <w:sz w:val="20"/>
          <w:szCs w:val="20"/>
        </w:rPr>
        <w:t>La cuenta denominada Nacional Financiera Fideicomiso Contrato 1063970,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734675">
        <w:rPr>
          <w:rFonts w:ascii="Calibri" w:hAnsi="Calibri" w:cs="Arial"/>
          <w:bCs/>
          <w:sz w:val="20"/>
          <w:szCs w:val="20"/>
        </w:rPr>
        <w:t xml:space="preserve"> </w:t>
      </w:r>
      <w:r w:rsidRPr="00734675">
        <w:rPr>
          <w:rFonts w:ascii="Calibri" w:hAnsi="Calibri"/>
          <w:sz w:val="20"/>
          <w:szCs w:val="20"/>
        </w:rPr>
        <w:t>administrada por Nacional Financiera S.N.C., conforme al contrato modificatorio suscrito el 25 de Mayo de 2009. De esta cuenta, se efectúan transferencias a las cuentas bancarias: Banorte No. 610257195 (Gasto Corriente), Banorte No. 610257186 (Nómina) y Banorte No. 592674928 (Débito empresarial)</w:t>
      </w:r>
      <w:r w:rsidR="005B5C4B" w:rsidRPr="00734675">
        <w:rPr>
          <w:rFonts w:ascii="Calibri" w:hAnsi="Calibri"/>
          <w:sz w:val="20"/>
          <w:szCs w:val="20"/>
        </w:rPr>
        <w:t>.</w:t>
      </w:r>
    </w:p>
    <w:p w:rsidR="00A47351" w:rsidRPr="00734675" w:rsidRDefault="00A47351" w:rsidP="00A47351">
      <w:pPr>
        <w:pStyle w:val="Prrafodelista"/>
        <w:tabs>
          <w:tab w:val="left" w:pos="284"/>
        </w:tabs>
        <w:ind w:left="0"/>
        <w:jc w:val="both"/>
        <w:rPr>
          <w:rFonts w:ascii="Calibri" w:hAnsi="Calibri" w:cs="Arial"/>
          <w:bCs/>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734675">
        <w:rPr>
          <w:rFonts w:ascii="Calibri" w:hAnsi="Calibri"/>
          <w:sz w:val="20"/>
          <w:szCs w:val="20"/>
        </w:rPr>
        <w:t>La cuenta denominada Nacional Financiera Fideicomiso Contrato 1063970, corresponde a la cuenta concentradora que acumula los recursos transferidos por el Gobierno del Estado. Esta cuenta es</w:t>
      </w:r>
      <w:r w:rsidRPr="00734675">
        <w:rPr>
          <w:rFonts w:ascii="Calibri" w:hAnsi="Calibri" w:cs="Arial"/>
          <w:bCs/>
          <w:sz w:val="20"/>
          <w:szCs w:val="20"/>
        </w:rPr>
        <w:t xml:space="preserve"> </w:t>
      </w:r>
      <w:r w:rsidRPr="00734675">
        <w:rPr>
          <w:rFonts w:ascii="Calibri" w:hAnsi="Calibri"/>
          <w:sz w:val="20"/>
          <w:szCs w:val="20"/>
        </w:rPr>
        <w:t xml:space="preserve">administrada por Nacional Financiera S.N.C., conforme al contrato modificatorio suscrito el 25 de Mayo de 2009. De esta cuenta, se efectúa transferencia a la cuenta bancaria: Banorte No. 1070104715 (Participación Federal Capítulo 1000).  </w:t>
      </w:r>
    </w:p>
    <w:p w:rsidR="00A47351" w:rsidRPr="00734675" w:rsidRDefault="00A47351" w:rsidP="00A47351">
      <w:pPr>
        <w:pStyle w:val="Prrafodelista"/>
        <w:tabs>
          <w:tab w:val="left" w:pos="284"/>
        </w:tabs>
        <w:ind w:left="0"/>
        <w:jc w:val="both"/>
        <w:rPr>
          <w:rFonts w:ascii="Calibri" w:hAnsi="Calibri" w:cs="Arial"/>
          <w:bCs/>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 pagos por compra de material de oficina, servicio de telefonía fija, contratación de artistas invitados, inserciones y spots publicitarios, entre otros.</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 cuenta denominada Banorte No. 0610257186 Nómina, acumula el efectivo disponible para erogar los sueldos del personal adscrito al FIGAROSY y demás conceptos relacionados con la nómina.</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 cuenta denominada Banorte No. 0639430485 Ingresos, acumula el importe por la venta de localidades de las presentaciones de la Orquesta Sinfónica de Yucatán recaudadas en efectivo,  a través tarjeta de crédito o débito y a través de la página web (venta en línea), así como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A47351" w:rsidRPr="00734675" w:rsidRDefault="00A47351" w:rsidP="005B5C4B">
      <w:pPr>
        <w:pStyle w:val="Prrafodelista"/>
        <w:ind w:left="0"/>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 cuenta denominada Banorte No. 592674928 Débito empresarial, acumula el efectivo disponible para el pago e servicios que únicamente pueden ser adquiridos por esta vía o servicios cuyo costo-beneficio resulta en una economía al adquirirlos y pagar vía dicha tarjeta, como son publicidad en la red social Facebook, música orquestal en plataformas de internet, boletos de avión de directores artísticos invitados, solistas, músicos extras, entre otros.</w:t>
      </w:r>
    </w:p>
    <w:p w:rsidR="00A47351" w:rsidRPr="00734675" w:rsidRDefault="00A47351" w:rsidP="005B5C4B">
      <w:pPr>
        <w:pStyle w:val="Prrafodelista"/>
        <w:ind w:left="0"/>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 cuenta denominada Banorte No. 1070104715 Participaciones Federales, acumula el efectivo disponible para erogar los sueldos del personal adscrito al FIGAROSY y demás conceptos relacionados con la nómina que provienen del recurso de Participaciones Federales.</w:t>
      </w:r>
    </w:p>
    <w:p w:rsidR="00A47351" w:rsidRPr="00734675" w:rsidRDefault="00A47351" w:rsidP="00A47351">
      <w:pPr>
        <w:rPr>
          <w:rFonts w:ascii="Calibri" w:hAnsi="Calibri"/>
          <w:sz w:val="20"/>
          <w:szCs w:val="20"/>
        </w:rPr>
      </w:pPr>
    </w:p>
    <w:p w:rsidR="00A47351" w:rsidRPr="00734675" w:rsidRDefault="00A47351" w:rsidP="00A47351">
      <w:pPr>
        <w:pStyle w:val="Prrafodelista"/>
        <w:numPr>
          <w:ilvl w:val="2"/>
          <w:numId w:val="16"/>
        </w:numPr>
        <w:tabs>
          <w:tab w:val="left" w:pos="426"/>
          <w:tab w:val="left" w:pos="709"/>
        </w:tabs>
        <w:ind w:left="0" w:firstLine="0"/>
        <w:rPr>
          <w:rFonts w:ascii="Calibri" w:hAnsi="Calibri"/>
          <w:b/>
          <w:sz w:val="20"/>
          <w:szCs w:val="20"/>
        </w:rPr>
      </w:pPr>
      <w:r w:rsidRPr="00734675">
        <w:rPr>
          <w:rFonts w:ascii="Calibri" w:hAnsi="Calibri"/>
          <w:b/>
          <w:sz w:val="20"/>
          <w:szCs w:val="20"/>
        </w:rPr>
        <w:t xml:space="preserve"> Derechos a Recibir efectivo o equivalentes y Bienes o Servicios a Recibir.</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tabs>
          <w:tab w:val="left" w:pos="426"/>
        </w:tabs>
        <w:jc w:val="both"/>
        <w:rPr>
          <w:rFonts w:ascii="Calibri" w:hAnsi="Calibri"/>
          <w:sz w:val="20"/>
          <w:szCs w:val="20"/>
        </w:rPr>
      </w:pPr>
      <w:r w:rsidRPr="00734675">
        <w:rPr>
          <w:rFonts w:ascii="Calibri" w:hAnsi="Calibri"/>
          <w:sz w:val="20"/>
          <w:szCs w:val="20"/>
        </w:rPr>
        <w:t>El rubro de Derechos a recibir efectivo o equivalentes y bienes o servicios</w:t>
      </w:r>
      <w:r w:rsidR="007031B6" w:rsidRPr="00734675">
        <w:rPr>
          <w:rFonts w:ascii="Calibri" w:hAnsi="Calibri"/>
          <w:sz w:val="20"/>
          <w:szCs w:val="20"/>
        </w:rPr>
        <w:t xml:space="preserve"> a recibir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CA0766" w:rsidRPr="00734675">
        <w:rPr>
          <w:rFonts w:ascii="Calibri" w:hAnsi="Calibri"/>
          <w:sz w:val="20"/>
          <w:szCs w:val="20"/>
        </w:rPr>
        <w:t>,</w:t>
      </w:r>
      <w:r w:rsidRPr="00734675">
        <w:rPr>
          <w:rFonts w:ascii="Calibri" w:hAnsi="Calibri"/>
          <w:sz w:val="20"/>
          <w:szCs w:val="20"/>
        </w:rPr>
        <w:t xml:space="preserve"> se encuentra integrada de la siguiente manera:</w:t>
      </w:r>
    </w:p>
    <w:p w:rsidR="00CE2F1B" w:rsidRPr="00734675" w:rsidRDefault="00CE2F1B" w:rsidP="00A47351">
      <w:pPr>
        <w:tabs>
          <w:tab w:val="left" w:pos="426"/>
        </w:tabs>
        <w:jc w:val="both"/>
        <w:rPr>
          <w:rFonts w:ascii="Calibri" w:hAnsi="Calibri"/>
          <w:sz w:val="20"/>
          <w:szCs w:val="20"/>
        </w:rPr>
      </w:pPr>
    </w:p>
    <w:p w:rsidR="00CE2F1B" w:rsidRPr="00734675" w:rsidRDefault="00CE2F1B" w:rsidP="00CE2F1B">
      <w:pPr>
        <w:tabs>
          <w:tab w:val="left" w:pos="426"/>
        </w:tabs>
        <w:jc w:val="center"/>
        <w:rPr>
          <w:rFonts w:ascii="Calibri" w:hAnsi="Calibri"/>
          <w:sz w:val="20"/>
          <w:szCs w:val="20"/>
        </w:rPr>
      </w:pPr>
    </w:p>
    <w:p w:rsidR="001A7521" w:rsidRPr="00734675" w:rsidRDefault="00263BCA" w:rsidP="00263BCA">
      <w:pPr>
        <w:tabs>
          <w:tab w:val="left" w:pos="426"/>
        </w:tabs>
        <w:jc w:val="center"/>
        <w:rPr>
          <w:rFonts w:ascii="Calibri" w:hAnsi="Calibri"/>
          <w:sz w:val="20"/>
          <w:szCs w:val="20"/>
        </w:rPr>
      </w:pPr>
      <w:r w:rsidRPr="00734675">
        <w:rPr>
          <w:noProof/>
          <w:lang w:eastAsia="es-MX"/>
        </w:rPr>
        <w:drawing>
          <wp:inline distT="0" distB="0" distL="0" distR="0">
            <wp:extent cx="4514850" cy="1228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1228725"/>
                    </a:xfrm>
                    <a:prstGeom prst="rect">
                      <a:avLst/>
                    </a:prstGeom>
                    <a:noFill/>
                    <a:ln>
                      <a:noFill/>
                    </a:ln>
                  </pic:spPr>
                </pic:pic>
              </a:graphicData>
            </a:graphic>
          </wp:inline>
        </w:drawing>
      </w:r>
    </w:p>
    <w:p w:rsidR="008749CD" w:rsidRPr="00734675" w:rsidRDefault="008749CD" w:rsidP="001B7FE1">
      <w:pPr>
        <w:tabs>
          <w:tab w:val="left" w:pos="426"/>
        </w:tabs>
        <w:jc w:val="center"/>
        <w:rPr>
          <w:rFonts w:ascii="Calibri" w:hAnsi="Calibri"/>
          <w:sz w:val="20"/>
          <w:szCs w:val="20"/>
        </w:rPr>
      </w:pPr>
    </w:p>
    <w:p w:rsidR="008749CD" w:rsidRPr="00734675" w:rsidRDefault="008749CD" w:rsidP="00A47351">
      <w:pPr>
        <w:tabs>
          <w:tab w:val="left" w:pos="426"/>
        </w:tabs>
        <w:jc w:val="both"/>
        <w:rPr>
          <w:rFonts w:ascii="Calibri" w:hAnsi="Calibri"/>
          <w:sz w:val="20"/>
          <w:szCs w:val="20"/>
        </w:rPr>
      </w:pPr>
    </w:p>
    <w:p w:rsidR="008F3F6C" w:rsidRPr="00734675" w:rsidRDefault="008F3F6C" w:rsidP="00A47351">
      <w:pPr>
        <w:tabs>
          <w:tab w:val="left" w:pos="426"/>
        </w:tabs>
        <w:jc w:val="both"/>
        <w:rPr>
          <w:rFonts w:ascii="Calibri" w:hAnsi="Calibri"/>
          <w:sz w:val="20"/>
          <w:szCs w:val="20"/>
        </w:rPr>
      </w:pPr>
    </w:p>
    <w:p w:rsidR="00E02DF3" w:rsidRPr="00734675" w:rsidRDefault="00E02DF3" w:rsidP="00A47351">
      <w:pPr>
        <w:tabs>
          <w:tab w:val="left" w:pos="426"/>
        </w:tabs>
        <w:jc w:val="both"/>
        <w:rPr>
          <w:rFonts w:ascii="Calibri" w:hAnsi="Calibri"/>
          <w:sz w:val="20"/>
          <w:szCs w:val="20"/>
        </w:rPr>
      </w:pPr>
    </w:p>
    <w:p w:rsidR="00E02DF3" w:rsidRPr="00734675" w:rsidRDefault="00E02DF3" w:rsidP="00A47351">
      <w:pPr>
        <w:tabs>
          <w:tab w:val="left" w:pos="426"/>
        </w:tabs>
        <w:jc w:val="both"/>
        <w:rPr>
          <w:rFonts w:ascii="Calibri" w:hAnsi="Calibri"/>
          <w:sz w:val="20"/>
          <w:szCs w:val="20"/>
        </w:rPr>
      </w:pPr>
    </w:p>
    <w:p w:rsidR="00E02DF3" w:rsidRPr="00734675" w:rsidRDefault="00E02DF3" w:rsidP="00A47351">
      <w:pPr>
        <w:tabs>
          <w:tab w:val="left" w:pos="426"/>
        </w:tabs>
        <w:jc w:val="both"/>
        <w:rPr>
          <w:rFonts w:ascii="Calibri" w:hAnsi="Calibri"/>
          <w:sz w:val="20"/>
          <w:szCs w:val="20"/>
        </w:rPr>
      </w:pPr>
    </w:p>
    <w:p w:rsidR="00E02DF3" w:rsidRPr="00734675" w:rsidRDefault="00E02DF3" w:rsidP="00A47351">
      <w:pPr>
        <w:tabs>
          <w:tab w:val="left" w:pos="426"/>
        </w:tabs>
        <w:jc w:val="both"/>
        <w:rPr>
          <w:rFonts w:ascii="Calibri" w:hAnsi="Calibri"/>
          <w:sz w:val="20"/>
          <w:szCs w:val="20"/>
        </w:rPr>
      </w:pPr>
    </w:p>
    <w:p w:rsidR="00A47351" w:rsidRPr="00734675" w:rsidRDefault="00A47351" w:rsidP="00A47351">
      <w:pPr>
        <w:tabs>
          <w:tab w:val="left" w:pos="0"/>
        </w:tabs>
        <w:jc w:val="both"/>
        <w:rPr>
          <w:rFonts w:ascii="Calibri" w:hAnsi="Calibri"/>
          <w:sz w:val="20"/>
          <w:szCs w:val="20"/>
        </w:rPr>
      </w:pPr>
      <w:r w:rsidRPr="00734675">
        <w:rPr>
          <w:rFonts w:ascii="Calibri" w:hAnsi="Calibri"/>
          <w:b/>
          <w:sz w:val="20"/>
          <w:szCs w:val="20"/>
        </w:rPr>
        <w:t>1.1.2.1</w:t>
      </w:r>
      <w:r w:rsidRPr="00734675">
        <w:rPr>
          <w:rFonts w:ascii="Calibri" w:hAnsi="Calibri"/>
          <w:sz w:val="20"/>
          <w:szCs w:val="20"/>
        </w:rPr>
        <w:t xml:space="preserve"> El rubro de Derechos a recibir efectivo o equivalentes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CA0766" w:rsidRPr="00734675">
        <w:rPr>
          <w:rFonts w:ascii="Calibri" w:hAnsi="Calibri"/>
          <w:sz w:val="20"/>
          <w:szCs w:val="20"/>
        </w:rPr>
        <w:t>,</w:t>
      </w:r>
      <w:r w:rsidRPr="00734675">
        <w:rPr>
          <w:rFonts w:ascii="Calibri" w:hAnsi="Calibri"/>
          <w:sz w:val="20"/>
          <w:szCs w:val="20"/>
        </w:rPr>
        <w:t xml:space="preserve"> se encuentra integrada de la siguiente manera:</w:t>
      </w:r>
    </w:p>
    <w:p w:rsidR="00CE2F1B" w:rsidRPr="00734675" w:rsidRDefault="00CE2F1B" w:rsidP="00A47351">
      <w:pPr>
        <w:tabs>
          <w:tab w:val="left" w:pos="0"/>
        </w:tabs>
        <w:jc w:val="both"/>
        <w:rPr>
          <w:rFonts w:ascii="Calibri" w:hAnsi="Calibri"/>
          <w:sz w:val="20"/>
          <w:szCs w:val="20"/>
        </w:rPr>
      </w:pPr>
    </w:p>
    <w:p w:rsidR="008749CD" w:rsidRPr="00734675" w:rsidRDefault="008749CD" w:rsidP="00CE2F1B">
      <w:pPr>
        <w:pStyle w:val="Prrafodelista"/>
        <w:tabs>
          <w:tab w:val="left" w:pos="426"/>
        </w:tabs>
        <w:ind w:left="0"/>
        <w:jc w:val="center"/>
        <w:rPr>
          <w:rFonts w:ascii="Calibri" w:hAnsi="Calibri"/>
          <w:sz w:val="20"/>
          <w:szCs w:val="20"/>
        </w:rPr>
      </w:pPr>
    </w:p>
    <w:p w:rsidR="00E02DF3" w:rsidRPr="00734675" w:rsidRDefault="001B7FE1" w:rsidP="00E02DF3">
      <w:pPr>
        <w:pStyle w:val="Prrafodelista"/>
        <w:tabs>
          <w:tab w:val="left" w:pos="426"/>
        </w:tabs>
        <w:ind w:left="0"/>
        <w:jc w:val="center"/>
        <w:rPr>
          <w:rFonts w:ascii="Calibri" w:hAnsi="Calibri"/>
          <w:sz w:val="20"/>
          <w:szCs w:val="20"/>
        </w:rPr>
      </w:pPr>
      <w:r w:rsidRPr="00734675">
        <w:rPr>
          <w:noProof/>
          <w:lang w:eastAsia="es-MX"/>
        </w:rPr>
        <w:drawing>
          <wp:inline distT="0" distB="0" distL="0" distR="0">
            <wp:extent cx="5372100" cy="10287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028700"/>
                    </a:xfrm>
                    <a:prstGeom prst="rect">
                      <a:avLst/>
                    </a:prstGeom>
                    <a:noFill/>
                    <a:ln>
                      <a:noFill/>
                    </a:ln>
                  </pic:spPr>
                </pic:pic>
              </a:graphicData>
            </a:graphic>
          </wp:inline>
        </w:drawing>
      </w:r>
    </w:p>
    <w:p w:rsidR="00E02DF3" w:rsidRPr="00734675" w:rsidRDefault="00E02DF3"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709"/>
          <w:tab w:val="left" w:pos="851"/>
          <w:tab w:val="left" w:pos="1418"/>
        </w:tabs>
        <w:ind w:left="0"/>
        <w:rPr>
          <w:rFonts w:ascii="Calibri" w:hAnsi="Calibri"/>
          <w:sz w:val="20"/>
          <w:szCs w:val="20"/>
        </w:rPr>
      </w:pPr>
      <w:r w:rsidRPr="00734675">
        <w:rPr>
          <w:rFonts w:ascii="Calibri" w:hAnsi="Calibri"/>
          <w:b/>
          <w:sz w:val="20"/>
          <w:szCs w:val="20"/>
        </w:rPr>
        <w:t>1.1.2.1.2</w:t>
      </w:r>
      <w:r w:rsidRPr="00734675">
        <w:rPr>
          <w:rFonts w:ascii="Calibri" w:hAnsi="Calibri"/>
          <w:sz w:val="20"/>
          <w:szCs w:val="20"/>
        </w:rPr>
        <w:t xml:space="preserve"> Las cuentas deudores diversos se integran de la siguiente manera:</w:t>
      </w:r>
    </w:p>
    <w:p w:rsidR="00A47351" w:rsidRPr="00734675" w:rsidRDefault="00A47351" w:rsidP="00A47351">
      <w:pPr>
        <w:tabs>
          <w:tab w:val="left" w:pos="1965"/>
        </w:tabs>
      </w:pPr>
    </w:p>
    <w:p w:rsidR="00E02DF3" w:rsidRPr="00734675" w:rsidRDefault="001B7FE1" w:rsidP="001B2255">
      <w:pPr>
        <w:tabs>
          <w:tab w:val="left" w:pos="1965"/>
        </w:tabs>
        <w:jc w:val="center"/>
      </w:pPr>
      <w:r w:rsidRPr="00734675">
        <w:rPr>
          <w:noProof/>
          <w:lang w:eastAsia="es-MX"/>
        </w:rPr>
        <w:drawing>
          <wp:inline distT="0" distB="0" distL="0" distR="0">
            <wp:extent cx="5810250" cy="13906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390650"/>
                    </a:xfrm>
                    <a:prstGeom prst="rect">
                      <a:avLst/>
                    </a:prstGeom>
                    <a:noFill/>
                    <a:ln>
                      <a:noFill/>
                    </a:ln>
                  </pic:spPr>
                </pic:pic>
              </a:graphicData>
            </a:graphic>
          </wp:inline>
        </w:drawing>
      </w:r>
    </w:p>
    <w:p w:rsidR="00E02DF3" w:rsidRPr="00734675" w:rsidRDefault="00E02DF3" w:rsidP="008749CD">
      <w:pPr>
        <w:tabs>
          <w:tab w:val="left" w:pos="1965"/>
        </w:tabs>
        <w:jc w:val="center"/>
      </w:pPr>
    </w:p>
    <w:p w:rsidR="000B103F" w:rsidRPr="00734675" w:rsidRDefault="000B103F" w:rsidP="00A47351">
      <w:pPr>
        <w:pStyle w:val="Prrafodelista"/>
        <w:tabs>
          <w:tab w:val="left" w:pos="0"/>
        </w:tabs>
        <w:ind w:left="0"/>
        <w:jc w:val="both"/>
        <w:rPr>
          <w:rFonts w:ascii="Calibri" w:hAnsi="Calibri"/>
          <w:b/>
          <w:sz w:val="20"/>
          <w:szCs w:val="20"/>
        </w:rPr>
      </w:pPr>
    </w:p>
    <w:p w:rsidR="00A47351" w:rsidRPr="00734675" w:rsidRDefault="00A47351" w:rsidP="00A47351">
      <w:pPr>
        <w:pStyle w:val="Prrafodelista"/>
        <w:tabs>
          <w:tab w:val="left" w:pos="0"/>
        </w:tabs>
        <w:ind w:left="0"/>
        <w:jc w:val="both"/>
        <w:rPr>
          <w:rFonts w:ascii="Calibri" w:hAnsi="Calibri"/>
          <w:sz w:val="20"/>
          <w:szCs w:val="20"/>
        </w:rPr>
      </w:pPr>
      <w:r w:rsidRPr="00734675">
        <w:rPr>
          <w:rFonts w:ascii="Calibri" w:hAnsi="Calibri"/>
          <w:b/>
          <w:sz w:val="20"/>
          <w:szCs w:val="20"/>
        </w:rPr>
        <w:t>1.1.2.2</w:t>
      </w:r>
      <w:r w:rsidRPr="00734675">
        <w:rPr>
          <w:rFonts w:ascii="Calibri" w:hAnsi="Calibri"/>
          <w:sz w:val="20"/>
          <w:szCs w:val="20"/>
        </w:rPr>
        <w:t xml:space="preserve"> El rubro de derechos a recibir bienes o servicios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CA0766" w:rsidRPr="00734675">
        <w:rPr>
          <w:rFonts w:ascii="Calibri" w:hAnsi="Calibri"/>
          <w:sz w:val="20"/>
          <w:szCs w:val="20"/>
        </w:rPr>
        <w:t>,</w:t>
      </w:r>
      <w:r w:rsidRPr="00734675">
        <w:rPr>
          <w:rFonts w:ascii="Calibri" w:hAnsi="Calibri"/>
          <w:sz w:val="20"/>
          <w:szCs w:val="20"/>
        </w:rPr>
        <w:t xml:space="preserve"> se integra únicamente por la cuenta de anticipos a corto plazo,  se conforma de la siguiente manera:</w:t>
      </w:r>
    </w:p>
    <w:p w:rsidR="002F0C14" w:rsidRPr="00734675" w:rsidRDefault="002F0C14" w:rsidP="008749CD">
      <w:pPr>
        <w:pStyle w:val="Prrafodelista"/>
        <w:tabs>
          <w:tab w:val="left" w:pos="426"/>
        </w:tabs>
        <w:ind w:left="0"/>
        <w:rPr>
          <w:rFonts w:ascii="Calibri" w:hAnsi="Calibri"/>
          <w:sz w:val="20"/>
          <w:szCs w:val="20"/>
        </w:rPr>
      </w:pPr>
    </w:p>
    <w:p w:rsidR="002F0C14" w:rsidRPr="00734675" w:rsidRDefault="001B7FE1" w:rsidP="008749CD">
      <w:pPr>
        <w:pStyle w:val="Prrafodelista"/>
        <w:tabs>
          <w:tab w:val="left" w:pos="426"/>
        </w:tabs>
        <w:ind w:left="0"/>
        <w:jc w:val="center"/>
        <w:rPr>
          <w:rFonts w:ascii="Calibri" w:hAnsi="Calibri"/>
          <w:sz w:val="20"/>
          <w:szCs w:val="20"/>
        </w:rPr>
      </w:pPr>
      <w:r w:rsidRPr="00734675">
        <w:rPr>
          <w:noProof/>
          <w:lang w:eastAsia="es-MX"/>
        </w:rPr>
        <w:drawing>
          <wp:inline distT="0" distB="0" distL="0" distR="0">
            <wp:extent cx="5810250" cy="23145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2314575"/>
                    </a:xfrm>
                    <a:prstGeom prst="rect">
                      <a:avLst/>
                    </a:prstGeom>
                    <a:noFill/>
                    <a:ln>
                      <a:noFill/>
                    </a:ln>
                  </pic:spPr>
                </pic:pic>
              </a:graphicData>
            </a:graphic>
          </wp:inline>
        </w:drawing>
      </w:r>
    </w:p>
    <w:p w:rsidR="002F0C14" w:rsidRPr="00734675" w:rsidRDefault="002F0C14" w:rsidP="008749CD">
      <w:pPr>
        <w:pStyle w:val="Prrafodelista"/>
        <w:tabs>
          <w:tab w:val="left" w:pos="426"/>
        </w:tabs>
        <w:ind w:left="0"/>
        <w:jc w:val="center"/>
        <w:rPr>
          <w:rFonts w:ascii="Calibri" w:hAnsi="Calibri"/>
          <w:sz w:val="20"/>
          <w:szCs w:val="20"/>
        </w:rPr>
      </w:pPr>
    </w:p>
    <w:p w:rsidR="002F0C14" w:rsidRPr="00734675" w:rsidRDefault="002F0C14" w:rsidP="00A47351">
      <w:pPr>
        <w:pStyle w:val="Prrafodelista"/>
        <w:tabs>
          <w:tab w:val="left" w:pos="426"/>
        </w:tabs>
        <w:ind w:left="0"/>
        <w:rPr>
          <w:rFonts w:ascii="Calibri" w:hAnsi="Calibri"/>
          <w:sz w:val="20"/>
          <w:szCs w:val="20"/>
        </w:rPr>
      </w:pPr>
    </w:p>
    <w:p w:rsidR="00A47351" w:rsidRPr="00734675" w:rsidRDefault="00A47351" w:rsidP="002F0C14">
      <w:pPr>
        <w:pStyle w:val="Prrafodelista"/>
        <w:numPr>
          <w:ilvl w:val="2"/>
          <w:numId w:val="38"/>
        </w:numPr>
        <w:tabs>
          <w:tab w:val="left" w:pos="0"/>
          <w:tab w:val="left" w:pos="426"/>
        </w:tabs>
        <w:ind w:left="0" w:firstLine="0"/>
        <w:rPr>
          <w:rFonts w:ascii="Calibri" w:hAnsi="Calibri"/>
          <w:b/>
          <w:sz w:val="20"/>
          <w:szCs w:val="20"/>
        </w:rPr>
      </w:pPr>
      <w:r w:rsidRPr="00734675">
        <w:rPr>
          <w:rFonts w:ascii="Calibri" w:hAnsi="Calibri"/>
          <w:b/>
          <w:sz w:val="20"/>
          <w:szCs w:val="20"/>
        </w:rPr>
        <w:t xml:space="preserve"> Bienes Disponibles para su Transformación o Consumo (inventarios).</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961643" w:rsidRPr="00734675" w:rsidRDefault="00961643" w:rsidP="00A47351">
      <w:pPr>
        <w:autoSpaceDE w:val="0"/>
        <w:jc w:val="both"/>
        <w:rPr>
          <w:rFonts w:ascii="Calibri" w:hAnsi="Calibri"/>
          <w:sz w:val="20"/>
          <w:szCs w:val="20"/>
        </w:rPr>
      </w:pPr>
    </w:p>
    <w:p w:rsidR="00961643" w:rsidRPr="00734675" w:rsidRDefault="00961643" w:rsidP="00961643">
      <w:pPr>
        <w:pStyle w:val="Prrafodelista"/>
        <w:numPr>
          <w:ilvl w:val="2"/>
          <w:numId w:val="38"/>
        </w:numPr>
        <w:tabs>
          <w:tab w:val="left" w:pos="426"/>
        </w:tabs>
        <w:ind w:left="709" w:hanging="709"/>
        <w:rPr>
          <w:rFonts w:ascii="Calibri" w:hAnsi="Calibri"/>
          <w:b/>
          <w:sz w:val="20"/>
          <w:szCs w:val="20"/>
        </w:rPr>
      </w:pPr>
      <w:r w:rsidRPr="00734675">
        <w:rPr>
          <w:rFonts w:ascii="Calibri" w:hAnsi="Calibri"/>
          <w:b/>
          <w:sz w:val="20"/>
          <w:szCs w:val="20"/>
        </w:rPr>
        <w:t>Inversiones Financieras.</w:t>
      </w:r>
    </w:p>
    <w:p w:rsidR="00961643" w:rsidRPr="00734675" w:rsidRDefault="00961643" w:rsidP="00961643">
      <w:pPr>
        <w:pStyle w:val="Prrafodelista"/>
        <w:tabs>
          <w:tab w:val="left" w:pos="0"/>
          <w:tab w:val="left" w:pos="426"/>
        </w:tabs>
        <w:ind w:left="0"/>
        <w:rPr>
          <w:rFonts w:ascii="Calibri" w:hAnsi="Calibri"/>
          <w:sz w:val="20"/>
          <w:szCs w:val="20"/>
        </w:rPr>
      </w:pPr>
    </w:p>
    <w:p w:rsidR="00961643" w:rsidRPr="00734675" w:rsidRDefault="00961643" w:rsidP="00961643">
      <w:pPr>
        <w:pStyle w:val="Prrafodelista"/>
        <w:tabs>
          <w:tab w:val="left" w:pos="0"/>
          <w:tab w:val="left" w:pos="426"/>
        </w:tabs>
        <w:ind w:left="0"/>
        <w:rPr>
          <w:rFonts w:ascii="Calibri" w:hAnsi="Calibri"/>
          <w:b/>
          <w:sz w:val="20"/>
          <w:szCs w:val="20"/>
        </w:rPr>
      </w:pPr>
      <w:r w:rsidRPr="00734675">
        <w:rPr>
          <w:rFonts w:ascii="Calibri" w:hAnsi="Calibri"/>
          <w:sz w:val="20"/>
          <w:szCs w:val="20"/>
        </w:rPr>
        <w:t>El Fideicomiso Garante de la Orquesta Sinfónica de Yucatán (FIGAROSY), en el período reportado no cuenta con inversiones financieras.</w:t>
      </w:r>
    </w:p>
    <w:p w:rsidR="00A47351" w:rsidRPr="00734675" w:rsidRDefault="00A47351" w:rsidP="00A47351">
      <w:pPr>
        <w:rPr>
          <w:rFonts w:ascii="Calibri" w:hAnsi="Calibri" w:cs="Arial"/>
          <w:bCs/>
          <w:sz w:val="20"/>
          <w:szCs w:val="20"/>
        </w:rPr>
      </w:pPr>
    </w:p>
    <w:p w:rsidR="00A47351" w:rsidRPr="00734675" w:rsidRDefault="00A47351" w:rsidP="00A53CA2">
      <w:pPr>
        <w:pStyle w:val="Prrafodelista"/>
        <w:numPr>
          <w:ilvl w:val="2"/>
          <w:numId w:val="22"/>
        </w:numPr>
        <w:tabs>
          <w:tab w:val="left" w:pos="0"/>
          <w:tab w:val="left" w:pos="426"/>
        </w:tabs>
        <w:rPr>
          <w:rFonts w:ascii="Calibri" w:hAnsi="Calibri"/>
          <w:b/>
          <w:sz w:val="20"/>
          <w:szCs w:val="20"/>
        </w:rPr>
      </w:pPr>
      <w:r w:rsidRPr="00734675">
        <w:rPr>
          <w:rFonts w:ascii="Calibri" w:hAnsi="Calibri"/>
          <w:b/>
          <w:sz w:val="20"/>
          <w:szCs w:val="20"/>
        </w:rPr>
        <w:lastRenderedPageBreak/>
        <w:t xml:space="preserve"> Bienes muebles, Inmuebles e Intangibles</w:t>
      </w:r>
    </w:p>
    <w:p w:rsidR="00A47351" w:rsidRPr="00734675" w:rsidRDefault="00A47351" w:rsidP="00A47351">
      <w:pPr>
        <w:pStyle w:val="Prrafodelista"/>
        <w:tabs>
          <w:tab w:val="left" w:pos="426"/>
        </w:tabs>
        <w:ind w:left="0"/>
        <w:rPr>
          <w:rFonts w:ascii="Calibri" w:hAnsi="Calibri"/>
          <w:sz w:val="20"/>
          <w:szCs w:val="20"/>
        </w:rPr>
      </w:pPr>
    </w:p>
    <w:p w:rsidR="00A47351" w:rsidRPr="00734675" w:rsidRDefault="00A47351" w:rsidP="00A47351">
      <w:pPr>
        <w:pStyle w:val="Prrafodelista"/>
        <w:numPr>
          <w:ilvl w:val="3"/>
          <w:numId w:val="22"/>
        </w:numPr>
        <w:tabs>
          <w:tab w:val="left" w:pos="0"/>
          <w:tab w:val="left" w:pos="284"/>
          <w:tab w:val="left" w:pos="709"/>
        </w:tabs>
        <w:ind w:left="0" w:firstLine="0"/>
        <w:jc w:val="both"/>
        <w:rPr>
          <w:rFonts w:ascii="Calibri" w:hAnsi="Calibri"/>
          <w:sz w:val="20"/>
          <w:szCs w:val="20"/>
        </w:rPr>
      </w:pPr>
      <w:r w:rsidRPr="00734675">
        <w:rPr>
          <w:rFonts w:ascii="Calibri" w:hAnsi="Calibri"/>
          <w:sz w:val="20"/>
          <w:szCs w:val="20"/>
        </w:rPr>
        <w:t>En el rubro de bienes inmuebles, infraestructura y constr</w:t>
      </w:r>
      <w:r w:rsidR="007454E7" w:rsidRPr="00734675">
        <w:rPr>
          <w:rFonts w:ascii="Calibri" w:hAnsi="Calibri"/>
          <w:sz w:val="20"/>
          <w:szCs w:val="20"/>
        </w:rPr>
        <w:t xml:space="preserve">ucción en proceso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3B1BF6" w:rsidRPr="00734675">
        <w:rPr>
          <w:rFonts w:ascii="Calibri" w:hAnsi="Calibri"/>
          <w:sz w:val="20"/>
          <w:szCs w:val="20"/>
        </w:rPr>
        <w:t>,</w:t>
      </w:r>
      <w:r w:rsidRPr="00734675">
        <w:rPr>
          <w:rFonts w:ascii="Calibri" w:hAnsi="Calibri"/>
          <w:sz w:val="20"/>
          <w:szCs w:val="20"/>
        </w:rPr>
        <w:t xml:space="preserve"> se informa que el FIGAROSY no cuenta en sus registros contables ningún bien inmueble, infraestructura y construcción en proceso.</w:t>
      </w:r>
    </w:p>
    <w:p w:rsidR="00A47351" w:rsidRPr="00734675" w:rsidRDefault="00A47351" w:rsidP="00A47351">
      <w:pPr>
        <w:pStyle w:val="Prrafodelista"/>
        <w:tabs>
          <w:tab w:val="left" w:pos="284"/>
        </w:tabs>
        <w:ind w:left="0"/>
        <w:rPr>
          <w:rFonts w:ascii="Calibri" w:hAnsi="Calibri"/>
          <w:sz w:val="20"/>
          <w:szCs w:val="20"/>
        </w:rPr>
      </w:pPr>
    </w:p>
    <w:p w:rsidR="00A47351" w:rsidRPr="00734675" w:rsidRDefault="00A47351" w:rsidP="00A47351">
      <w:pPr>
        <w:pStyle w:val="Prrafodelista"/>
        <w:tabs>
          <w:tab w:val="left" w:pos="284"/>
        </w:tabs>
        <w:ind w:left="0"/>
        <w:rPr>
          <w:rFonts w:ascii="Calibri" w:hAnsi="Calibri"/>
          <w:sz w:val="20"/>
          <w:szCs w:val="20"/>
        </w:rPr>
      </w:pPr>
      <w:r w:rsidRPr="00734675">
        <w:rPr>
          <w:rFonts w:ascii="Calibri" w:hAnsi="Calibri"/>
          <w:b/>
          <w:sz w:val="20"/>
          <w:szCs w:val="20"/>
        </w:rPr>
        <w:t>1.1.5.2</w:t>
      </w:r>
      <w:r w:rsidRPr="00734675">
        <w:rPr>
          <w:rFonts w:ascii="Calibri" w:hAnsi="Calibri"/>
          <w:sz w:val="20"/>
          <w:szCs w:val="20"/>
        </w:rPr>
        <w:t xml:space="preserve">  El rubro de bienes muebles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3B1BF6" w:rsidRPr="00734675">
        <w:rPr>
          <w:rFonts w:ascii="Calibri" w:hAnsi="Calibri"/>
          <w:sz w:val="20"/>
          <w:szCs w:val="20"/>
        </w:rPr>
        <w:t>,</w:t>
      </w:r>
      <w:r w:rsidRPr="00734675">
        <w:rPr>
          <w:rFonts w:ascii="Calibri" w:hAnsi="Calibri"/>
          <w:sz w:val="20"/>
          <w:szCs w:val="20"/>
        </w:rPr>
        <w:t xml:space="preserve"> se encuentra integrado de la siguiente manera:</w:t>
      </w:r>
    </w:p>
    <w:p w:rsidR="00A47351" w:rsidRPr="00734675" w:rsidRDefault="00A47351" w:rsidP="00A47351">
      <w:pPr>
        <w:pStyle w:val="Prrafodelista"/>
        <w:tabs>
          <w:tab w:val="left" w:pos="426"/>
        </w:tabs>
        <w:ind w:left="0"/>
        <w:rPr>
          <w:rFonts w:ascii="Calibri" w:hAnsi="Calibri"/>
          <w:sz w:val="20"/>
          <w:szCs w:val="20"/>
        </w:rPr>
      </w:pPr>
    </w:p>
    <w:p w:rsidR="008F3F6C" w:rsidRPr="00734675" w:rsidRDefault="008F3F6C" w:rsidP="008749CD">
      <w:pPr>
        <w:pStyle w:val="Prrafodelista"/>
        <w:tabs>
          <w:tab w:val="left" w:pos="426"/>
        </w:tabs>
        <w:ind w:left="0"/>
        <w:rPr>
          <w:rFonts w:ascii="Calibri" w:hAnsi="Calibri"/>
          <w:sz w:val="20"/>
          <w:szCs w:val="20"/>
        </w:rPr>
      </w:pPr>
    </w:p>
    <w:p w:rsidR="00B55026" w:rsidRPr="00734675" w:rsidRDefault="00263BCA" w:rsidP="00CE2F1B">
      <w:pPr>
        <w:pStyle w:val="Prrafodelista"/>
        <w:tabs>
          <w:tab w:val="left" w:pos="426"/>
        </w:tabs>
        <w:ind w:left="0"/>
        <w:jc w:val="center"/>
        <w:rPr>
          <w:rFonts w:ascii="Calibri" w:hAnsi="Calibri"/>
          <w:sz w:val="20"/>
          <w:szCs w:val="20"/>
        </w:rPr>
      </w:pPr>
      <w:r w:rsidRPr="00734675">
        <w:rPr>
          <w:noProof/>
          <w:lang w:eastAsia="es-MX"/>
        </w:rPr>
        <w:drawing>
          <wp:inline distT="0" distB="0" distL="0" distR="0" wp14:anchorId="1093220D" wp14:editId="778DF5DB">
            <wp:extent cx="5781675" cy="11525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1152525"/>
                    </a:xfrm>
                    <a:prstGeom prst="rect">
                      <a:avLst/>
                    </a:prstGeom>
                    <a:noFill/>
                    <a:ln>
                      <a:noFill/>
                    </a:ln>
                  </pic:spPr>
                </pic:pic>
              </a:graphicData>
            </a:graphic>
          </wp:inline>
        </w:drawing>
      </w:r>
    </w:p>
    <w:p w:rsidR="00B55026" w:rsidRPr="00734675" w:rsidRDefault="00B55026" w:rsidP="00A47351">
      <w:pPr>
        <w:pStyle w:val="Prrafodelista"/>
        <w:tabs>
          <w:tab w:val="left" w:pos="426"/>
        </w:tabs>
        <w:ind w:left="0"/>
        <w:rPr>
          <w:rFonts w:ascii="Calibri" w:hAnsi="Calibri"/>
          <w:sz w:val="20"/>
          <w:szCs w:val="20"/>
        </w:rPr>
      </w:pPr>
    </w:p>
    <w:p w:rsidR="00B55026" w:rsidRPr="00734675" w:rsidRDefault="00B55026" w:rsidP="00A47351">
      <w:pPr>
        <w:pStyle w:val="Prrafodelista"/>
        <w:tabs>
          <w:tab w:val="left" w:pos="426"/>
        </w:tabs>
        <w:ind w:left="0"/>
        <w:rPr>
          <w:rFonts w:ascii="Calibri" w:hAnsi="Calibri"/>
          <w:sz w:val="20"/>
          <w:szCs w:val="20"/>
        </w:rPr>
      </w:pPr>
    </w:p>
    <w:p w:rsidR="00A47351" w:rsidRPr="00734675" w:rsidRDefault="00A47351" w:rsidP="00A47351">
      <w:pPr>
        <w:pStyle w:val="Prrafodelista"/>
        <w:tabs>
          <w:tab w:val="left" w:pos="426"/>
        </w:tabs>
        <w:ind w:left="0"/>
        <w:rPr>
          <w:rFonts w:ascii="Calibri" w:hAnsi="Calibri"/>
          <w:sz w:val="20"/>
          <w:szCs w:val="20"/>
        </w:rPr>
      </w:pPr>
      <w:r w:rsidRPr="00734675">
        <w:rPr>
          <w:rFonts w:ascii="Calibri" w:hAnsi="Calibri"/>
          <w:b/>
          <w:sz w:val="20"/>
          <w:szCs w:val="20"/>
        </w:rPr>
        <w:t>1.1.5.2.1</w:t>
      </w:r>
      <w:r w:rsidRPr="00734675">
        <w:rPr>
          <w:rFonts w:ascii="Calibri" w:hAnsi="Calibri"/>
          <w:sz w:val="20"/>
          <w:szCs w:val="20"/>
        </w:rPr>
        <w:t xml:space="preserve"> La cuenta de mobiliario y equipo de administración se integra de la siguiente manera:</w:t>
      </w:r>
    </w:p>
    <w:p w:rsidR="00B55026" w:rsidRPr="00734675" w:rsidRDefault="00B55026" w:rsidP="00A47351">
      <w:pPr>
        <w:pStyle w:val="Prrafodelista"/>
        <w:tabs>
          <w:tab w:val="left" w:pos="426"/>
        </w:tabs>
        <w:ind w:left="0"/>
        <w:rPr>
          <w:rFonts w:ascii="Calibri" w:hAnsi="Calibri"/>
          <w:sz w:val="20"/>
          <w:szCs w:val="20"/>
        </w:rPr>
      </w:pPr>
    </w:p>
    <w:p w:rsidR="00CE2F1B" w:rsidRPr="00734675" w:rsidRDefault="00CE2F1B" w:rsidP="00A47351">
      <w:pPr>
        <w:pStyle w:val="Prrafodelista"/>
        <w:tabs>
          <w:tab w:val="left" w:pos="426"/>
        </w:tabs>
        <w:ind w:left="0"/>
        <w:rPr>
          <w:rFonts w:ascii="Calibri" w:hAnsi="Calibri"/>
          <w:sz w:val="20"/>
          <w:szCs w:val="20"/>
        </w:rPr>
      </w:pPr>
    </w:p>
    <w:p w:rsidR="00CE2F1B" w:rsidRPr="00734675" w:rsidRDefault="003921EA" w:rsidP="00A47351">
      <w:pPr>
        <w:pStyle w:val="Prrafodelista"/>
        <w:tabs>
          <w:tab w:val="left" w:pos="426"/>
        </w:tabs>
        <w:ind w:left="0"/>
        <w:rPr>
          <w:rFonts w:ascii="Calibri" w:hAnsi="Calibri"/>
          <w:sz w:val="20"/>
          <w:szCs w:val="20"/>
        </w:rPr>
      </w:pPr>
      <w:r w:rsidRPr="00734675">
        <w:rPr>
          <w:noProof/>
          <w:lang w:eastAsia="es-MX"/>
        </w:rPr>
        <w:drawing>
          <wp:inline distT="0" distB="0" distL="0" distR="0">
            <wp:extent cx="6031230" cy="12977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1297754"/>
                    </a:xfrm>
                    <a:prstGeom prst="rect">
                      <a:avLst/>
                    </a:prstGeom>
                    <a:noFill/>
                    <a:ln>
                      <a:noFill/>
                    </a:ln>
                  </pic:spPr>
                </pic:pic>
              </a:graphicData>
            </a:graphic>
          </wp:inline>
        </w:drawing>
      </w:r>
    </w:p>
    <w:p w:rsidR="00501BE4" w:rsidRPr="00734675" w:rsidRDefault="00501BE4" w:rsidP="00A47351">
      <w:pPr>
        <w:rPr>
          <w:rFonts w:ascii="Calibri" w:hAnsi="Calibri"/>
          <w:sz w:val="20"/>
          <w:szCs w:val="20"/>
        </w:rPr>
      </w:pPr>
    </w:p>
    <w:p w:rsidR="005D25E4" w:rsidRPr="00734675" w:rsidRDefault="00FD6725" w:rsidP="00A47351">
      <w:pPr>
        <w:pStyle w:val="Textoindependiente"/>
        <w:rPr>
          <w:rFonts w:ascii="Calibri" w:hAnsi="Calibri"/>
          <w:bCs w:val="0"/>
          <w:sz w:val="20"/>
          <w:szCs w:val="20"/>
        </w:rPr>
      </w:pPr>
      <w:r w:rsidRPr="00734675">
        <w:rPr>
          <w:rFonts w:ascii="Calibri" w:hAnsi="Calibri"/>
          <w:bCs w:val="0"/>
          <w:sz w:val="20"/>
          <w:szCs w:val="20"/>
        </w:rPr>
        <w:t>D</w:t>
      </w:r>
      <w:r w:rsidR="00954F03" w:rsidRPr="00734675">
        <w:rPr>
          <w:rFonts w:ascii="Calibri" w:hAnsi="Calibri"/>
          <w:bCs w:val="0"/>
          <w:sz w:val="20"/>
          <w:szCs w:val="20"/>
        </w:rPr>
        <w:t xml:space="preserve">urante el período del 1 al </w:t>
      </w:r>
      <w:r w:rsidR="003A03A6" w:rsidRPr="00734675">
        <w:rPr>
          <w:rFonts w:ascii="Calibri" w:hAnsi="Calibri"/>
          <w:bCs w:val="0"/>
          <w:sz w:val="20"/>
          <w:szCs w:val="20"/>
        </w:rPr>
        <w:t>28</w:t>
      </w:r>
      <w:r w:rsidR="00954F03" w:rsidRPr="00734675">
        <w:rPr>
          <w:rFonts w:ascii="Calibri" w:hAnsi="Calibri"/>
          <w:sz w:val="20"/>
          <w:szCs w:val="20"/>
        </w:rPr>
        <w:t xml:space="preserve"> de </w:t>
      </w:r>
      <w:r w:rsidR="003A03A6" w:rsidRPr="00734675">
        <w:rPr>
          <w:rFonts w:ascii="Calibri" w:hAnsi="Calibri"/>
          <w:sz w:val="20"/>
          <w:szCs w:val="20"/>
        </w:rPr>
        <w:t>Febrero</w:t>
      </w:r>
      <w:r w:rsidR="00551ED7" w:rsidRPr="00734675">
        <w:rPr>
          <w:rFonts w:ascii="Calibri" w:hAnsi="Calibri"/>
          <w:sz w:val="20"/>
          <w:szCs w:val="20"/>
        </w:rPr>
        <w:t xml:space="preserve"> </w:t>
      </w:r>
      <w:r w:rsidR="00954F03" w:rsidRPr="00734675">
        <w:rPr>
          <w:rFonts w:ascii="Calibri" w:hAnsi="Calibri"/>
          <w:bCs w:val="0"/>
          <w:sz w:val="20"/>
          <w:szCs w:val="20"/>
        </w:rPr>
        <w:t>del</w:t>
      </w:r>
      <w:r w:rsidR="00551ED7" w:rsidRPr="00734675">
        <w:rPr>
          <w:rFonts w:ascii="Calibri" w:hAnsi="Calibri"/>
          <w:bCs w:val="0"/>
          <w:sz w:val="20"/>
          <w:szCs w:val="20"/>
        </w:rPr>
        <w:t xml:space="preserve"> 2022</w:t>
      </w:r>
      <w:r w:rsidR="00954F03" w:rsidRPr="00734675">
        <w:rPr>
          <w:rFonts w:ascii="Calibri" w:hAnsi="Calibri"/>
          <w:bCs w:val="0"/>
          <w:sz w:val="20"/>
          <w:szCs w:val="20"/>
        </w:rPr>
        <w:t>,</w:t>
      </w:r>
      <w:r w:rsidR="00551ED7" w:rsidRPr="00734675">
        <w:rPr>
          <w:rFonts w:ascii="Calibri" w:hAnsi="Calibri"/>
          <w:bCs w:val="0"/>
          <w:sz w:val="20"/>
          <w:szCs w:val="20"/>
        </w:rPr>
        <w:t xml:space="preserve"> </w:t>
      </w:r>
      <w:r w:rsidR="00A84DEC" w:rsidRPr="00734675">
        <w:rPr>
          <w:rFonts w:ascii="Calibri" w:hAnsi="Calibri"/>
          <w:bCs w:val="0"/>
          <w:sz w:val="20"/>
          <w:szCs w:val="20"/>
        </w:rPr>
        <w:t>no se realizaron adquisiciones.</w:t>
      </w:r>
    </w:p>
    <w:p w:rsidR="005D25E4" w:rsidRPr="00734675" w:rsidRDefault="005D25E4" w:rsidP="005D25E4">
      <w:pPr>
        <w:pStyle w:val="Textoindependiente"/>
        <w:jc w:val="center"/>
        <w:rPr>
          <w:rFonts w:ascii="Calibri" w:hAnsi="Calibri"/>
          <w:bCs w:val="0"/>
          <w:sz w:val="20"/>
          <w:szCs w:val="20"/>
        </w:rPr>
      </w:pPr>
    </w:p>
    <w:p w:rsidR="00A47351" w:rsidRPr="00734675" w:rsidRDefault="00A47351" w:rsidP="00A47351">
      <w:pPr>
        <w:pStyle w:val="Prrafodelista"/>
        <w:numPr>
          <w:ilvl w:val="4"/>
          <w:numId w:val="43"/>
        </w:numPr>
        <w:tabs>
          <w:tab w:val="left" w:pos="426"/>
          <w:tab w:val="left" w:pos="851"/>
        </w:tabs>
        <w:ind w:left="0" w:firstLine="0"/>
        <w:jc w:val="both"/>
        <w:rPr>
          <w:rFonts w:ascii="Calibri" w:hAnsi="Calibri"/>
          <w:sz w:val="20"/>
          <w:szCs w:val="20"/>
        </w:rPr>
      </w:pPr>
      <w:r w:rsidRPr="00734675">
        <w:rPr>
          <w:rFonts w:ascii="Calibri" w:hAnsi="Calibri"/>
          <w:sz w:val="20"/>
          <w:szCs w:val="20"/>
        </w:rPr>
        <w:t xml:space="preserve">La cuenta de maquinaria, otros equipos y herramientas, agrupa herramientas menores que utiliza el personal operativo del FIGAROSY, y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3B1BF6" w:rsidRPr="00734675">
        <w:rPr>
          <w:rFonts w:ascii="Calibri" w:hAnsi="Calibri"/>
          <w:sz w:val="20"/>
          <w:szCs w:val="20"/>
        </w:rPr>
        <w:t>,</w:t>
      </w:r>
      <w:r w:rsidRPr="00734675">
        <w:rPr>
          <w:rFonts w:ascii="Calibri" w:hAnsi="Calibri"/>
          <w:sz w:val="20"/>
          <w:szCs w:val="20"/>
        </w:rPr>
        <w:t xml:space="preserve"> acumula un total de $ 1,680.00.  </w:t>
      </w:r>
    </w:p>
    <w:p w:rsidR="00A47351" w:rsidRPr="00734675" w:rsidRDefault="00A47351" w:rsidP="00A47351">
      <w:pPr>
        <w:pStyle w:val="Prrafodelista"/>
        <w:tabs>
          <w:tab w:val="left" w:pos="0"/>
          <w:tab w:val="left" w:pos="284"/>
          <w:tab w:val="left" w:pos="709"/>
        </w:tabs>
        <w:ind w:left="0"/>
        <w:jc w:val="both"/>
        <w:rPr>
          <w:rFonts w:ascii="Calibri" w:hAnsi="Calibri"/>
          <w:sz w:val="20"/>
          <w:szCs w:val="20"/>
        </w:rPr>
      </w:pPr>
    </w:p>
    <w:p w:rsidR="00A47351" w:rsidRPr="00734675" w:rsidRDefault="0085220D" w:rsidP="00A47351">
      <w:pPr>
        <w:pStyle w:val="Prrafodelista"/>
        <w:numPr>
          <w:ilvl w:val="3"/>
          <w:numId w:val="43"/>
        </w:numPr>
        <w:tabs>
          <w:tab w:val="left" w:pos="0"/>
          <w:tab w:val="left" w:pos="284"/>
          <w:tab w:val="left" w:pos="709"/>
        </w:tabs>
        <w:ind w:left="0" w:firstLine="0"/>
        <w:jc w:val="both"/>
        <w:rPr>
          <w:rFonts w:ascii="Calibri" w:hAnsi="Calibri"/>
          <w:sz w:val="20"/>
          <w:szCs w:val="20"/>
        </w:rPr>
      </w:pPr>
      <w:r w:rsidRPr="00734675">
        <w:rPr>
          <w:rFonts w:ascii="Calibri" w:hAnsi="Calibri"/>
          <w:sz w:val="20"/>
          <w:szCs w:val="20"/>
        </w:rPr>
        <w:t>En la cuenta de activos intangibles, se encuentra la subcuenta de software que registra la adquisición de un sistema de control de asistencia para el personal adscrito al FIGAROSY, adquirido en el ejercicio 2010, por un importe de $ 9,907.24; la adquisición un software administrativo, adquirido en el ejercicio 20211, por un importe de $ 11,995.56; la adquisición de una herramienta de Solución Integral Administrativa, que incluye los módulos de presupuestos, indicadores, bienes de consumo, control de activos fijos, reportes financieros y cuentas por pagar, adquirido en el ejercicio 2011 por un importe de $ 139,200.00; la adquisición del programa para la emisión de comprobantes fiscales digitales del Fideicomiso Garante de la Orquesta Sinfónica de Yucatán, adquirido en el ejercicio 2012 por un importe de $ 5,788.40; la adquisición de un sistema de cuentas por pagar, adquirido en el ejercicio 2013 por un importe de $ 11,600.00; la adquisición de un sistema de control de adquisiciones, adquirido en el ejercicio 2013 por un importe de $ 11,600.00 la adquisición de un sistema de control presupuestal y contable acorde a los lineamientos de la Ley General de Contabilidad Gubernamental y el Consejo Nacional de Armonización Contable, adquirido en el ejercicio 2014 por un importe de $ 25,000.00; la adquisición de un software de kiosko para promoción de los conciertos, adquirido en el 2016, por un importe de $25,823.57; la adquisición de un programa de mapping interactivo para difusión de eventos de la Orquesta Sinfónica de Yucatán, adquirido en el mes de agosto de 2016 por $ 11,600.00; la adquisición del software del sistema de venta de localidades de la Orquesta Sinfónica de Yucatán, adquirido en el mes de julio del 2018, la adquisición de, por la cantidad de $ 179,800.00 . Estas adquisiciones hacen un total de $ 432,314.77</w:t>
      </w:r>
      <w:r w:rsidR="00A47351" w:rsidRPr="00734675">
        <w:rPr>
          <w:rFonts w:ascii="Calibri" w:hAnsi="Calibri"/>
          <w:sz w:val="20"/>
          <w:szCs w:val="20"/>
        </w:rPr>
        <w:t>.</w:t>
      </w:r>
    </w:p>
    <w:p w:rsidR="00A47351" w:rsidRPr="00734675" w:rsidRDefault="00A47351" w:rsidP="00A47351">
      <w:pPr>
        <w:pStyle w:val="Prrafodelista"/>
        <w:tabs>
          <w:tab w:val="left" w:pos="0"/>
          <w:tab w:val="left" w:pos="284"/>
          <w:tab w:val="left" w:pos="709"/>
        </w:tabs>
        <w:ind w:left="0"/>
        <w:jc w:val="both"/>
        <w:rPr>
          <w:rFonts w:ascii="Calibri" w:hAnsi="Calibri"/>
          <w:sz w:val="20"/>
          <w:szCs w:val="20"/>
        </w:rPr>
      </w:pPr>
    </w:p>
    <w:p w:rsidR="00A47351" w:rsidRPr="00734675" w:rsidRDefault="00A47351" w:rsidP="00A47351">
      <w:pPr>
        <w:pStyle w:val="Prrafodelista"/>
        <w:numPr>
          <w:ilvl w:val="3"/>
          <w:numId w:val="43"/>
        </w:numPr>
        <w:tabs>
          <w:tab w:val="left" w:pos="284"/>
        </w:tabs>
        <w:ind w:left="0" w:firstLine="0"/>
        <w:jc w:val="both"/>
        <w:rPr>
          <w:rFonts w:ascii="Calibri" w:hAnsi="Calibri"/>
          <w:sz w:val="20"/>
          <w:szCs w:val="20"/>
        </w:rPr>
      </w:pPr>
      <w:r w:rsidRPr="00734675">
        <w:rPr>
          <w:rFonts w:ascii="Calibri" w:hAnsi="Calibri"/>
          <w:sz w:val="20"/>
          <w:szCs w:val="20"/>
        </w:rPr>
        <w:t>El rubro de depreciación, deterioro y amortización ac</w:t>
      </w:r>
      <w:r w:rsidR="00F15EFD" w:rsidRPr="00734675">
        <w:rPr>
          <w:rFonts w:ascii="Calibri" w:hAnsi="Calibri"/>
          <w:sz w:val="20"/>
          <w:szCs w:val="20"/>
        </w:rPr>
        <w:t xml:space="preserve">umulada de bienes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se encuentra integrado de la siguiente manera:</w:t>
      </w:r>
    </w:p>
    <w:p w:rsidR="00CE2F1B" w:rsidRPr="00734675" w:rsidRDefault="00CE2F1B" w:rsidP="00CE2F1B">
      <w:pPr>
        <w:pStyle w:val="Prrafodelista"/>
        <w:rPr>
          <w:rFonts w:ascii="Calibri" w:hAnsi="Calibri"/>
          <w:sz w:val="20"/>
          <w:szCs w:val="20"/>
        </w:rPr>
      </w:pPr>
    </w:p>
    <w:p w:rsidR="00CE2F1B" w:rsidRPr="00734675" w:rsidRDefault="00CE2F1B" w:rsidP="00CE2F1B">
      <w:pPr>
        <w:pStyle w:val="Prrafodelista"/>
        <w:tabs>
          <w:tab w:val="left" w:pos="284"/>
        </w:tabs>
        <w:ind w:left="0"/>
        <w:jc w:val="both"/>
        <w:rPr>
          <w:rFonts w:ascii="Calibri" w:hAnsi="Calibri"/>
          <w:sz w:val="20"/>
          <w:szCs w:val="20"/>
        </w:rPr>
      </w:pPr>
    </w:p>
    <w:p w:rsidR="00CE2F1B" w:rsidRPr="00734675" w:rsidRDefault="00CE2F1B" w:rsidP="009D57F4">
      <w:pPr>
        <w:pStyle w:val="Prrafodelista"/>
        <w:tabs>
          <w:tab w:val="left" w:pos="284"/>
        </w:tabs>
        <w:ind w:left="0"/>
        <w:jc w:val="center"/>
        <w:rPr>
          <w:rFonts w:ascii="Calibri" w:hAnsi="Calibri"/>
          <w:sz w:val="20"/>
          <w:szCs w:val="20"/>
        </w:rPr>
      </w:pPr>
    </w:p>
    <w:p w:rsidR="00B55026" w:rsidRPr="00734675" w:rsidRDefault="00263BCA" w:rsidP="00263BCA">
      <w:pPr>
        <w:tabs>
          <w:tab w:val="left" w:pos="284"/>
        </w:tabs>
        <w:jc w:val="center"/>
        <w:rPr>
          <w:rFonts w:ascii="Calibri" w:hAnsi="Calibri"/>
          <w:sz w:val="20"/>
          <w:szCs w:val="20"/>
        </w:rPr>
      </w:pPr>
      <w:r w:rsidRPr="00734675">
        <w:rPr>
          <w:noProof/>
          <w:lang w:eastAsia="es-MX"/>
        </w:rPr>
        <w:drawing>
          <wp:inline distT="0" distB="0" distL="0" distR="0">
            <wp:extent cx="5781675" cy="11049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1104900"/>
                    </a:xfrm>
                    <a:prstGeom prst="rect">
                      <a:avLst/>
                    </a:prstGeom>
                    <a:noFill/>
                    <a:ln>
                      <a:noFill/>
                    </a:ln>
                  </pic:spPr>
                </pic:pic>
              </a:graphicData>
            </a:graphic>
          </wp:inline>
        </w:drawing>
      </w: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b/>
          <w:sz w:val="20"/>
          <w:szCs w:val="20"/>
        </w:rPr>
        <w:t>1.1.5.4.1</w:t>
      </w:r>
      <w:r w:rsidRPr="00734675">
        <w:rPr>
          <w:rFonts w:ascii="Calibri" w:hAnsi="Calibr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de Yucatán el 10 de Enero de 2012. </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A continuación, se enlista los años de vida útil y los porcentajes de depreciación anual aplicados en los siguientes rubros de bienes muebles:</w:t>
      </w:r>
    </w:p>
    <w:p w:rsidR="00BC5288" w:rsidRPr="00734675" w:rsidRDefault="00BC5288" w:rsidP="00A47351">
      <w:pPr>
        <w:pStyle w:val="Prrafodelista"/>
        <w:tabs>
          <w:tab w:val="left" w:pos="426"/>
        </w:tabs>
        <w:ind w:left="0"/>
        <w:jc w:val="both"/>
        <w:rPr>
          <w:rFonts w:ascii="Calibri" w:hAnsi="Calibri"/>
          <w:sz w:val="20"/>
          <w:szCs w:val="20"/>
        </w:rPr>
      </w:pPr>
    </w:p>
    <w:p w:rsidR="00BC5288" w:rsidRPr="00734675" w:rsidRDefault="008A4119" w:rsidP="00FD6F05">
      <w:pPr>
        <w:pStyle w:val="Prrafodelista"/>
        <w:tabs>
          <w:tab w:val="left" w:pos="426"/>
        </w:tabs>
        <w:ind w:left="0"/>
        <w:jc w:val="center"/>
        <w:rPr>
          <w:rFonts w:ascii="Calibri" w:hAnsi="Calibri"/>
          <w:sz w:val="20"/>
          <w:szCs w:val="20"/>
        </w:rPr>
      </w:pPr>
      <w:r w:rsidRPr="00734675">
        <w:rPr>
          <w:noProof/>
          <w:lang w:eastAsia="es-MX"/>
        </w:rPr>
        <w:drawing>
          <wp:inline distT="0" distB="0" distL="0" distR="0" wp14:anchorId="4F9AEDD7" wp14:editId="05A327F4">
            <wp:extent cx="4579620" cy="11557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1155700"/>
                    </a:xfrm>
                    <a:prstGeom prst="rect">
                      <a:avLst/>
                    </a:prstGeom>
                    <a:noFill/>
                    <a:ln>
                      <a:noFill/>
                    </a:ln>
                  </pic:spPr>
                </pic:pic>
              </a:graphicData>
            </a:graphic>
          </wp:inline>
        </w:drawing>
      </w:r>
    </w:p>
    <w:p w:rsidR="00A10C25" w:rsidRPr="00734675" w:rsidRDefault="00A10C25"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 de Yucatán el 10 de Enero de 2012. </w:t>
      </w:r>
    </w:p>
    <w:p w:rsidR="00A47351" w:rsidRPr="00734675" w:rsidRDefault="00A47351" w:rsidP="00A47351">
      <w:pPr>
        <w:pStyle w:val="Textoindependiente"/>
        <w:tabs>
          <w:tab w:val="left" w:pos="426"/>
        </w:tabs>
        <w:rPr>
          <w:rFonts w:ascii="Calibri" w:hAnsi="Calibri"/>
          <w:bCs w:val="0"/>
          <w:sz w:val="20"/>
          <w:szCs w:val="20"/>
        </w:rPr>
      </w:pPr>
    </w:p>
    <w:p w:rsidR="00A47351" w:rsidRPr="00734675" w:rsidRDefault="00A47351" w:rsidP="00A47351">
      <w:pPr>
        <w:pStyle w:val="Textoindependiente"/>
        <w:rPr>
          <w:rFonts w:ascii="Calibri" w:hAnsi="Calibri"/>
          <w:bCs w:val="0"/>
          <w:sz w:val="20"/>
          <w:szCs w:val="20"/>
        </w:rPr>
      </w:pPr>
      <w:r w:rsidRPr="00734675">
        <w:rPr>
          <w:rFonts w:ascii="Calibri" w:hAnsi="Calibri"/>
          <w:bCs w:val="0"/>
          <w:sz w:val="20"/>
          <w:szCs w:val="20"/>
        </w:rPr>
        <w:t xml:space="preserve">La depreciación acumulada de mobiliario y equipo de bienes muebles </w:t>
      </w:r>
      <w:r w:rsidR="00F66D6B" w:rsidRPr="00734675">
        <w:rPr>
          <w:rFonts w:ascii="Calibri" w:hAnsi="Calibri"/>
          <w:bCs w:val="0"/>
          <w:sz w:val="20"/>
          <w:szCs w:val="20"/>
        </w:rPr>
        <w:t xml:space="preserve">al </w:t>
      </w:r>
      <w:r w:rsidR="001B7FE1" w:rsidRPr="00734675">
        <w:rPr>
          <w:rFonts w:ascii="Calibri" w:hAnsi="Calibri"/>
          <w:bCs w:val="0"/>
          <w:sz w:val="20"/>
          <w:szCs w:val="20"/>
        </w:rPr>
        <w:t>28 de febrero de 2022</w:t>
      </w:r>
      <w:r w:rsidRPr="00734675">
        <w:rPr>
          <w:rFonts w:ascii="Calibri" w:hAnsi="Calibri"/>
          <w:bCs w:val="0"/>
          <w:sz w:val="20"/>
          <w:szCs w:val="20"/>
        </w:rPr>
        <w:t xml:space="preserve">, asciende a la cantidad </w:t>
      </w:r>
      <w:r w:rsidR="009D57F4" w:rsidRPr="00734675">
        <w:rPr>
          <w:rFonts w:ascii="Calibri" w:hAnsi="Calibri"/>
          <w:bCs w:val="0"/>
          <w:sz w:val="20"/>
          <w:szCs w:val="20"/>
        </w:rPr>
        <w:t>de $</w:t>
      </w:r>
      <w:r w:rsidRPr="00734675">
        <w:rPr>
          <w:rFonts w:ascii="Calibri" w:hAnsi="Calibri"/>
          <w:bCs w:val="0"/>
          <w:sz w:val="20"/>
          <w:szCs w:val="20"/>
        </w:rPr>
        <w:t xml:space="preserve"> </w:t>
      </w:r>
      <w:r w:rsidR="008A4119" w:rsidRPr="00734675">
        <w:rPr>
          <w:rFonts w:ascii="Calibri" w:hAnsi="Calibri"/>
          <w:bCs w:val="0"/>
          <w:sz w:val="20"/>
          <w:szCs w:val="20"/>
        </w:rPr>
        <w:t>7</w:t>
      </w:r>
      <w:r w:rsidRPr="00734675">
        <w:rPr>
          <w:rFonts w:ascii="Calibri" w:hAnsi="Calibri"/>
          <w:bCs w:val="0"/>
          <w:sz w:val="20"/>
          <w:szCs w:val="20"/>
        </w:rPr>
        <w:t>´</w:t>
      </w:r>
      <w:r w:rsidR="009D57F4" w:rsidRPr="00734675">
        <w:rPr>
          <w:rFonts w:ascii="Calibri" w:hAnsi="Calibri"/>
          <w:bCs w:val="0"/>
          <w:sz w:val="20"/>
          <w:szCs w:val="20"/>
        </w:rPr>
        <w:t>933,832.02</w:t>
      </w:r>
      <w:r w:rsidRPr="00734675">
        <w:rPr>
          <w:rFonts w:ascii="Calibri" w:hAnsi="Calibri"/>
          <w:bCs w:val="0"/>
          <w:sz w:val="20"/>
          <w:szCs w:val="20"/>
        </w:rPr>
        <w:t>, que se integra de la siguiente forma:</w:t>
      </w:r>
    </w:p>
    <w:p w:rsidR="009D57F4" w:rsidRPr="00734675" w:rsidRDefault="009D57F4" w:rsidP="00A47351">
      <w:pPr>
        <w:pStyle w:val="Textoindependiente"/>
        <w:rPr>
          <w:rFonts w:ascii="Calibri" w:hAnsi="Calibri"/>
          <w:bCs w:val="0"/>
          <w:sz w:val="20"/>
          <w:szCs w:val="20"/>
        </w:rPr>
      </w:pPr>
    </w:p>
    <w:p w:rsidR="004E7158" w:rsidRPr="00734675" w:rsidRDefault="009D57F4" w:rsidP="00A47351">
      <w:pPr>
        <w:pStyle w:val="Textoindependiente"/>
        <w:rPr>
          <w:rFonts w:ascii="Calibri" w:hAnsi="Calibri"/>
          <w:bCs w:val="0"/>
          <w:sz w:val="20"/>
          <w:szCs w:val="20"/>
        </w:rPr>
      </w:pPr>
      <w:r w:rsidRPr="00734675">
        <w:rPr>
          <w:noProof/>
          <w:lang w:eastAsia="es-MX"/>
        </w:rPr>
        <w:drawing>
          <wp:inline distT="0" distB="0" distL="0" distR="0">
            <wp:extent cx="6031230" cy="11325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230" cy="1132555"/>
                    </a:xfrm>
                    <a:prstGeom prst="rect">
                      <a:avLst/>
                    </a:prstGeom>
                    <a:noFill/>
                    <a:ln>
                      <a:noFill/>
                    </a:ln>
                  </pic:spPr>
                </pic:pic>
              </a:graphicData>
            </a:graphic>
          </wp:inline>
        </w:drawing>
      </w:r>
    </w:p>
    <w:p w:rsidR="004E7158" w:rsidRPr="00734675" w:rsidRDefault="004E7158" w:rsidP="00A47351">
      <w:pPr>
        <w:pStyle w:val="Textoindependiente"/>
        <w:rPr>
          <w:rFonts w:ascii="Calibri" w:hAnsi="Calibri"/>
          <w:bCs w:val="0"/>
          <w:sz w:val="20"/>
          <w:szCs w:val="20"/>
        </w:rPr>
      </w:pPr>
    </w:p>
    <w:p w:rsidR="00A47351" w:rsidRPr="00734675" w:rsidRDefault="00A47351" w:rsidP="00CE2F1B">
      <w:pPr>
        <w:pStyle w:val="Prrafodelista"/>
        <w:tabs>
          <w:tab w:val="left" w:pos="426"/>
        </w:tabs>
        <w:ind w:left="0"/>
        <w:jc w:val="center"/>
        <w:rPr>
          <w:rFonts w:ascii="Calibri" w:hAnsi="Calibri"/>
          <w:sz w:val="20"/>
          <w:szCs w:val="20"/>
        </w:rPr>
      </w:pPr>
    </w:p>
    <w:p w:rsidR="00C75038" w:rsidRPr="00734675" w:rsidRDefault="00C75038" w:rsidP="00A47351">
      <w:pPr>
        <w:pStyle w:val="Prrafodelista"/>
        <w:tabs>
          <w:tab w:val="left" w:pos="426"/>
        </w:tabs>
        <w:ind w:left="0"/>
        <w:jc w:val="center"/>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b/>
          <w:sz w:val="20"/>
          <w:szCs w:val="20"/>
        </w:rPr>
        <w:t>1.1.5.4.2</w:t>
      </w:r>
      <w:r w:rsidRPr="00734675">
        <w:rPr>
          <w:rFonts w:ascii="Calibri" w:hAnsi="Calibr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lastRenderedPageBreak/>
        <w:t>A continuación, se enlista los años de vida útil y el porcentaje de amortización anual aplicado en el siguiente rubro de activos intangibles:</w:t>
      </w:r>
    </w:p>
    <w:p w:rsidR="00A47351" w:rsidRPr="00734675" w:rsidRDefault="00A47351" w:rsidP="00A47351">
      <w:pPr>
        <w:pStyle w:val="Prrafodelista"/>
        <w:tabs>
          <w:tab w:val="left" w:pos="426"/>
        </w:tabs>
        <w:ind w:left="0"/>
        <w:jc w:val="both"/>
        <w:rPr>
          <w:rFonts w:ascii="Calibri" w:hAnsi="Calibri"/>
          <w:sz w:val="20"/>
          <w:szCs w:val="20"/>
        </w:rPr>
      </w:pPr>
    </w:p>
    <w:p w:rsidR="00BC5288" w:rsidRPr="00734675" w:rsidRDefault="00BC5288" w:rsidP="00A47351">
      <w:pPr>
        <w:pStyle w:val="Prrafodelista"/>
        <w:tabs>
          <w:tab w:val="left" w:pos="426"/>
        </w:tabs>
        <w:ind w:left="0"/>
        <w:jc w:val="both"/>
        <w:rPr>
          <w:rFonts w:ascii="Calibri" w:hAnsi="Calibri"/>
          <w:sz w:val="20"/>
          <w:szCs w:val="20"/>
        </w:rPr>
      </w:pPr>
    </w:p>
    <w:p w:rsidR="00A47351" w:rsidRPr="00734675" w:rsidRDefault="00134274" w:rsidP="00A47351">
      <w:pPr>
        <w:pStyle w:val="Prrafodelista"/>
        <w:tabs>
          <w:tab w:val="left" w:pos="426"/>
        </w:tabs>
        <w:ind w:left="0"/>
        <w:jc w:val="both"/>
        <w:rPr>
          <w:rFonts w:ascii="Calibri" w:hAnsi="Calibri"/>
          <w:sz w:val="20"/>
          <w:szCs w:val="20"/>
        </w:rPr>
      </w:pPr>
      <w:r>
        <w:rPr>
          <w:rFonts w:ascii="Calibri" w:hAnsi="Calibri"/>
          <w:noProof/>
          <w:sz w:val="20"/>
          <w:szCs w:val="20"/>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8" type="#_x0000_t75" style="position:absolute;left:0;text-align:left;margin-left:120.25pt;margin-top:1.7pt;width:280.55pt;height:63.3pt;z-index:251659264">
            <v:imagedata r:id="rId19" o:title=""/>
          </v:shape>
          <o:OLEObject Type="Embed" ProgID="Excel.Sheet.8" ShapeID="_x0000_s1538" DrawAspect="Content" ObjectID="_1712573337" r:id="rId20"/>
        </w:object>
      </w:r>
    </w:p>
    <w:p w:rsidR="00A47351" w:rsidRPr="00734675" w:rsidRDefault="00A47351" w:rsidP="00BC5288">
      <w:pPr>
        <w:pStyle w:val="Prrafodelista"/>
        <w:tabs>
          <w:tab w:val="left" w:pos="0"/>
          <w:tab w:val="left" w:pos="1020"/>
        </w:tabs>
        <w:ind w:left="0"/>
        <w:jc w:val="both"/>
        <w:rPr>
          <w:rFonts w:ascii="Calibri" w:hAnsi="Calibri" w:cs="Arial"/>
          <w:bCs/>
          <w:sz w:val="20"/>
          <w:szCs w:val="20"/>
        </w:rPr>
      </w:pPr>
    </w:p>
    <w:p w:rsidR="00A47351" w:rsidRPr="00734675" w:rsidRDefault="00A47351" w:rsidP="00A47351">
      <w:pPr>
        <w:pStyle w:val="Prrafodelista"/>
        <w:tabs>
          <w:tab w:val="left" w:pos="0"/>
          <w:tab w:val="left" w:pos="426"/>
        </w:tabs>
        <w:ind w:left="0"/>
        <w:jc w:val="both"/>
        <w:rPr>
          <w:rFonts w:ascii="Calibri" w:hAnsi="Calibri" w:cs="Arial"/>
          <w:bCs/>
          <w:sz w:val="20"/>
          <w:szCs w:val="20"/>
        </w:rPr>
      </w:pPr>
    </w:p>
    <w:p w:rsidR="00A47351" w:rsidRPr="00734675" w:rsidRDefault="00A47351" w:rsidP="00A47351">
      <w:pPr>
        <w:pStyle w:val="Prrafodelista"/>
        <w:tabs>
          <w:tab w:val="left" w:pos="0"/>
          <w:tab w:val="left" w:pos="426"/>
        </w:tabs>
        <w:ind w:left="0"/>
        <w:jc w:val="both"/>
        <w:rPr>
          <w:rFonts w:ascii="Calibri" w:hAnsi="Calibri" w:cs="Arial"/>
          <w:bCs/>
          <w:sz w:val="20"/>
          <w:szCs w:val="20"/>
        </w:rPr>
      </w:pPr>
    </w:p>
    <w:p w:rsidR="00A47351" w:rsidRPr="00734675" w:rsidRDefault="00A47351" w:rsidP="00A47351">
      <w:pPr>
        <w:pStyle w:val="Prrafodelista"/>
        <w:tabs>
          <w:tab w:val="left" w:pos="0"/>
          <w:tab w:val="left" w:pos="426"/>
        </w:tabs>
        <w:ind w:left="0"/>
        <w:jc w:val="both"/>
        <w:rPr>
          <w:rFonts w:ascii="Calibri" w:hAnsi="Calibri" w:cs="Arial"/>
          <w:bCs/>
          <w:sz w:val="20"/>
          <w:szCs w:val="20"/>
        </w:rPr>
      </w:pPr>
    </w:p>
    <w:p w:rsidR="00A47351" w:rsidRPr="00734675" w:rsidRDefault="00A47351" w:rsidP="00A47351">
      <w:pPr>
        <w:pStyle w:val="Prrafodelista"/>
        <w:tabs>
          <w:tab w:val="left" w:pos="0"/>
          <w:tab w:val="left" w:pos="426"/>
        </w:tabs>
        <w:ind w:left="0"/>
        <w:jc w:val="both"/>
        <w:rPr>
          <w:rFonts w:ascii="Calibri" w:hAnsi="Calibri" w:cs="Arial"/>
          <w:bCs/>
          <w:sz w:val="20"/>
          <w:szCs w:val="20"/>
        </w:rPr>
      </w:pPr>
      <w:r w:rsidRPr="00734675">
        <w:rPr>
          <w:rFonts w:ascii="Calibri" w:hAnsi="Calibri"/>
          <w:sz w:val="20"/>
          <w:szCs w:val="20"/>
        </w:rPr>
        <w:t xml:space="preserve">En el mes de Diciembre de 2013, se registró la amortización de activos intangibles que se adquirió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A47351" w:rsidRPr="00734675" w:rsidRDefault="00A47351" w:rsidP="00A47351">
      <w:pPr>
        <w:pStyle w:val="Textoindependiente"/>
        <w:rPr>
          <w:rFonts w:ascii="Calibri" w:hAnsi="Calibri"/>
          <w:bCs w:val="0"/>
          <w:sz w:val="20"/>
          <w:szCs w:val="20"/>
        </w:rPr>
      </w:pPr>
    </w:p>
    <w:p w:rsidR="00A47351" w:rsidRPr="00734675" w:rsidRDefault="00A47351" w:rsidP="00A47351">
      <w:pPr>
        <w:pStyle w:val="Textoindependiente"/>
        <w:rPr>
          <w:rFonts w:ascii="Calibri" w:hAnsi="Calibri"/>
          <w:bCs w:val="0"/>
          <w:sz w:val="20"/>
          <w:szCs w:val="20"/>
        </w:rPr>
      </w:pPr>
      <w:r w:rsidRPr="00734675">
        <w:rPr>
          <w:rFonts w:ascii="Calibri" w:hAnsi="Calibri"/>
          <w:bCs w:val="0"/>
          <w:sz w:val="20"/>
          <w:szCs w:val="20"/>
        </w:rPr>
        <w:t xml:space="preserve">La amortización acumulada de </w:t>
      </w:r>
      <w:r w:rsidRPr="00734675">
        <w:rPr>
          <w:rFonts w:ascii="Calibri" w:hAnsi="Calibri"/>
          <w:sz w:val="20"/>
          <w:szCs w:val="20"/>
        </w:rPr>
        <w:t xml:space="preserve">activos intangibles </w:t>
      </w:r>
      <w:r w:rsidR="00F66D6B" w:rsidRPr="00734675">
        <w:rPr>
          <w:rFonts w:ascii="Calibri" w:hAnsi="Calibri"/>
          <w:bCs w:val="0"/>
          <w:sz w:val="20"/>
          <w:szCs w:val="20"/>
        </w:rPr>
        <w:t xml:space="preserve">al </w:t>
      </w:r>
      <w:r w:rsidR="001B7FE1" w:rsidRPr="00734675">
        <w:rPr>
          <w:rFonts w:ascii="Calibri" w:hAnsi="Calibri"/>
          <w:bCs w:val="0"/>
          <w:sz w:val="20"/>
          <w:szCs w:val="20"/>
        </w:rPr>
        <w:t>28 de febrero de 2022</w:t>
      </w:r>
      <w:r w:rsidR="00CA0766" w:rsidRPr="00734675">
        <w:rPr>
          <w:rFonts w:ascii="Calibri" w:hAnsi="Calibri"/>
          <w:bCs w:val="0"/>
          <w:sz w:val="20"/>
          <w:szCs w:val="20"/>
        </w:rPr>
        <w:t xml:space="preserve"> </w:t>
      </w:r>
      <w:r w:rsidRPr="00734675">
        <w:rPr>
          <w:rFonts w:ascii="Calibri" w:hAnsi="Calibri"/>
          <w:bCs w:val="0"/>
          <w:sz w:val="20"/>
          <w:szCs w:val="20"/>
        </w:rPr>
        <w:t xml:space="preserve"> asciende a la cantidad de </w:t>
      </w:r>
      <w:r w:rsidR="00231E0F" w:rsidRPr="00734675">
        <w:rPr>
          <w:rFonts w:ascii="Calibri" w:hAnsi="Calibri"/>
          <w:bCs w:val="0"/>
          <w:sz w:val="20"/>
          <w:szCs w:val="20"/>
        </w:rPr>
        <w:t>$</w:t>
      </w:r>
      <w:r w:rsidR="00043A40" w:rsidRPr="00734675">
        <w:rPr>
          <w:rFonts w:ascii="Calibri" w:hAnsi="Calibri"/>
          <w:bCs w:val="0"/>
          <w:sz w:val="20"/>
          <w:szCs w:val="20"/>
        </w:rPr>
        <w:t>322421.07</w:t>
      </w:r>
      <w:r w:rsidR="00041E75" w:rsidRPr="00734675">
        <w:rPr>
          <w:rFonts w:ascii="Calibri" w:hAnsi="Calibri"/>
          <w:bCs w:val="0"/>
          <w:sz w:val="20"/>
          <w:szCs w:val="20"/>
        </w:rPr>
        <w:t>.</w:t>
      </w:r>
    </w:p>
    <w:p w:rsidR="00A47351" w:rsidRPr="00734675" w:rsidRDefault="00A47351" w:rsidP="00A47351">
      <w:pPr>
        <w:pStyle w:val="Textoindependiente"/>
        <w:rPr>
          <w:rFonts w:ascii="Calibri" w:hAnsi="Calibri"/>
          <w:bCs w:val="0"/>
          <w:sz w:val="20"/>
          <w:szCs w:val="20"/>
        </w:rPr>
      </w:pPr>
    </w:p>
    <w:p w:rsidR="00A47351" w:rsidRPr="00734675" w:rsidRDefault="00A47351" w:rsidP="00A47351">
      <w:pPr>
        <w:pStyle w:val="Textoindependiente"/>
        <w:jc w:val="center"/>
        <w:rPr>
          <w:rFonts w:ascii="Calibri" w:hAnsi="Calibri"/>
          <w:sz w:val="20"/>
          <w:szCs w:val="20"/>
        </w:rPr>
      </w:pPr>
    </w:p>
    <w:p w:rsidR="00A47351" w:rsidRPr="00734675" w:rsidRDefault="00A47351" w:rsidP="00A47351">
      <w:pPr>
        <w:pStyle w:val="Prrafodelista"/>
        <w:numPr>
          <w:ilvl w:val="2"/>
          <w:numId w:val="43"/>
        </w:numPr>
        <w:tabs>
          <w:tab w:val="left" w:pos="567"/>
        </w:tabs>
        <w:ind w:left="0" w:firstLine="0"/>
        <w:rPr>
          <w:rFonts w:ascii="Calibri" w:hAnsi="Calibri"/>
          <w:b/>
          <w:sz w:val="20"/>
          <w:szCs w:val="20"/>
        </w:rPr>
      </w:pPr>
      <w:r w:rsidRPr="00734675">
        <w:rPr>
          <w:rFonts w:ascii="Calibri" w:hAnsi="Calibri"/>
          <w:b/>
          <w:sz w:val="20"/>
          <w:szCs w:val="20"/>
        </w:rPr>
        <w:t>Estimaciones y deterioros.</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4E7158"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Se cuenta con el </w:t>
      </w:r>
      <w:r w:rsidR="00A47351" w:rsidRPr="00734675">
        <w:rPr>
          <w:rFonts w:ascii="Calibri" w:hAnsi="Calibri"/>
          <w:sz w:val="20"/>
          <w:szCs w:val="20"/>
        </w:rPr>
        <w:t>registró</w:t>
      </w:r>
      <w:r w:rsidRPr="00734675">
        <w:rPr>
          <w:rFonts w:ascii="Calibri" w:hAnsi="Calibri"/>
          <w:sz w:val="20"/>
          <w:szCs w:val="20"/>
        </w:rPr>
        <w:t xml:space="preserve"> de</w:t>
      </w:r>
      <w:r w:rsidR="00A47351" w:rsidRPr="00734675">
        <w:rPr>
          <w:rFonts w:ascii="Calibri" w:hAnsi="Calibri"/>
          <w:sz w:val="20"/>
          <w:szCs w:val="20"/>
        </w:rPr>
        <w:t xml:space="preserve"> estimación para cuentas i</w:t>
      </w:r>
      <w:r w:rsidR="00E835C6" w:rsidRPr="00734675">
        <w:rPr>
          <w:rFonts w:ascii="Calibri" w:hAnsi="Calibri"/>
          <w:sz w:val="20"/>
          <w:szCs w:val="20"/>
        </w:rPr>
        <w:t>ncobrables por la cantidad de $</w:t>
      </w:r>
      <w:r w:rsidR="00A47351" w:rsidRPr="00734675">
        <w:rPr>
          <w:rFonts w:ascii="Calibri" w:hAnsi="Calibri"/>
          <w:sz w:val="20"/>
          <w:szCs w:val="20"/>
        </w:rPr>
        <w:t>190,000.00, que corresponde a saldo de dudosa recuperación. Esta estimación se cargó a la cuenta de resultados del ejercicio 2019, denominada Estimación por pérdida o deterioro de activos circulantes.</w:t>
      </w:r>
    </w:p>
    <w:p w:rsidR="00A47351" w:rsidRPr="00734675" w:rsidRDefault="00A47351" w:rsidP="00A47351">
      <w:pPr>
        <w:pStyle w:val="Prrafodelista"/>
        <w:tabs>
          <w:tab w:val="left" w:pos="6480"/>
        </w:tabs>
        <w:ind w:left="0"/>
        <w:rPr>
          <w:rFonts w:ascii="Calibri" w:hAnsi="Calibri"/>
          <w:b/>
          <w:sz w:val="20"/>
          <w:szCs w:val="20"/>
        </w:rPr>
      </w:pPr>
      <w:r w:rsidRPr="00734675">
        <w:rPr>
          <w:rFonts w:ascii="Calibri" w:hAnsi="Calibri"/>
          <w:b/>
          <w:sz w:val="20"/>
          <w:szCs w:val="20"/>
        </w:rPr>
        <w:tab/>
      </w:r>
    </w:p>
    <w:p w:rsidR="00A47351" w:rsidRPr="00734675" w:rsidRDefault="00A47351" w:rsidP="00A47351">
      <w:pPr>
        <w:pStyle w:val="Prrafodelista"/>
        <w:numPr>
          <w:ilvl w:val="2"/>
          <w:numId w:val="43"/>
        </w:numPr>
        <w:tabs>
          <w:tab w:val="left" w:pos="567"/>
        </w:tabs>
        <w:ind w:left="0" w:firstLine="0"/>
        <w:rPr>
          <w:rFonts w:ascii="Calibri" w:hAnsi="Calibri"/>
          <w:b/>
          <w:sz w:val="20"/>
          <w:szCs w:val="20"/>
        </w:rPr>
      </w:pPr>
      <w:r w:rsidRPr="00734675">
        <w:rPr>
          <w:rFonts w:ascii="Calibri" w:hAnsi="Calibri"/>
          <w:b/>
          <w:sz w:val="20"/>
          <w:szCs w:val="20"/>
        </w:rPr>
        <w:t>Otros Activos Circulantes.</w:t>
      </w:r>
    </w:p>
    <w:p w:rsidR="00A47351" w:rsidRPr="00734675" w:rsidRDefault="00A47351" w:rsidP="00A47351">
      <w:pPr>
        <w:pStyle w:val="Textoindependiente2"/>
        <w:rPr>
          <w:rFonts w:ascii="Calibri" w:hAnsi="Calibri" w:cs="Times New Roman"/>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Fideicomiso Garante de la Orquesta Sinfónica de Yucatán (FIGAROSY) no cuenta con otros activos circulantes.</w:t>
      </w:r>
    </w:p>
    <w:p w:rsidR="00146F5D" w:rsidRPr="00734675" w:rsidRDefault="00146F5D" w:rsidP="00A47351">
      <w:pPr>
        <w:autoSpaceDE w:val="0"/>
        <w:jc w:val="both"/>
        <w:rPr>
          <w:rFonts w:ascii="Calibri" w:hAnsi="Calibri"/>
          <w:sz w:val="20"/>
          <w:szCs w:val="20"/>
        </w:rPr>
      </w:pPr>
    </w:p>
    <w:p w:rsidR="00A47351" w:rsidRPr="00734675" w:rsidRDefault="00A47351" w:rsidP="00A47351">
      <w:pPr>
        <w:tabs>
          <w:tab w:val="left" w:pos="426"/>
        </w:tabs>
        <w:rPr>
          <w:rFonts w:ascii="Calibri" w:hAnsi="Calibri"/>
          <w:b/>
          <w:sz w:val="20"/>
          <w:szCs w:val="20"/>
        </w:rPr>
      </w:pPr>
    </w:p>
    <w:p w:rsidR="00A47351" w:rsidRPr="00734675" w:rsidRDefault="00A47351" w:rsidP="00A47351">
      <w:pPr>
        <w:pStyle w:val="Prrafodelista"/>
        <w:numPr>
          <w:ilvl w:val="1"/>
          <w:numId w:val="43"/>
        </w:numPr>
        <w:tabs>
          <w:tab w:val="left" w:pos="426"/>
        </w:tabs>
        <w:rPr>
          <w:rFonts w:ascii="Calibri" w:hAnsi="Calibri"/>
          <w:b/>
          <w:sz w:val="20"/>
          <w:szCs w:val="20"/>
        </w:rPr>
      </w:pPr>
      <w:r w:rsidRPr="00734675">
        <w:rPr>
          <w:rFonts w:ascii="Calibri" w:hAnsi="Calibri"/>
          <w:b/>
          <w:sz w:val="20"/>
          <w:szCs w:val="20"/>
        </w:rPr>
        <w:t>Pasivo</w:t>
      </w:r>
    </w:p>
    <w:p w:rsidR="00A47351" w:rsidRPr="00734675" w:rsidRDefault="00A47351" w:rsidP="00A47351">
      <w:pPr>
        <w:pStyle w:val="Prrafodelista"/>
        <w:tabs>
          <w:tab w:val="left" w:pos="426"/>
        </w:tabs>
        <w:ind w:left="0"/>
        <w:rPr>
          <w:rFonts w:ascii="Calibri" w:hAnsi="Calibri"/>
          <w:sz w:val="20"/>
          <w:szCs w:val="20"/>
        </w:rPr>
      </w:pPr>
    </w:p>
    <w:p w:rsidR="00A47351" w:rsidRPr="00734675" w:rsidRDefault="00A47351" w:rsidP="00A47351">
      <w:pPr>
        <w:pStyle w:val="Prrafodelista"/>
        <w:tabs>
          <w:tab w:val="left" w:pos="426"/>
        </w:tabs>
        <w:ind w:left="0"/>
        <w:rPr>
          <w:rFonts w:ascii="Calibri" w:hAnsi="Calibri"/>
          <w:b/>
          <w:sz w:val="20"/>
          <w:szCs w:val="20"/>
        </w:rPr>
      </w:pPr>
      <w:r w:rsidRPr="00734675">
        <w:rPr>
          <w:rFonts w:ascii="Calibri" w:hAnsi="Calibri"/>
          <w:b/>
          <w:sz w:val="20"/>
          <w:szCs w:val="20"/>
        </w:rPr>
        <w:t>1.2.1 Cuentas por pagar a corto plazo.</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426"/>
        </w:tabs>
        <w:ind w:left="0"/>
        <w:rPr>
          <w:rFonts w:ascii="Calibri" w:hAnsi="Calibri"/>
          <w:sz w:val="20"/>
          <w:szCs w:val="20"/>
        </w:rPr>
      </w:pPr>
      <w:r w:rsidRPr="00734675">
        <w:rPr>
          <w:rFonts w:ascii="Calibri" w:hAnsi="Calibri"/>
          <w:sz w:val="20"/>
          <w:szCs w:val="20"/>
        </w:rPr>
        <w:t xml:space="preserve">El FIGAROSY dispone </w:t>
      </w:r>
      <w:r w:rsidR="00BB432A" w:rsidRPr="00734675">
        <w:rPr>
          <w:rFonts w:ascii="Calibri" w:hAnsi="Calibri"/>
          <w:sz w:val="20"/>
          <w:szCs w:val="20"/>
        </w:rPr>
        <w:t xml:space="preserve">de $ </w:t>
      </w:r>
      <w:r w:rsidR="00F902FF" w:rsidRPr="00734675">
        <w:rPr>
          <w:rFonts w:ascii="Calibri" w:hAnsi="Calibri"/>
          <w:sz w:val="20"/>
          <w:szCs w:val="20"/>
        </w:rPr>
        <w:t>5.49</w:t>
      </w:r>
      <w:r w:rsidR="00A21786" w:rsidRPr="00734675">
        <w:rPr>
          <w:rFonts w:ascii="Calibri" w:hAnsi="Calibri"/>
          <w:sz w:val="20"/>
          <w:szCs w:val="20"/>
        </w:rPr>
        <w:t xml:space="preserve"> </w:t>
      </w:r>
      <w:r w:rsidRPr="00734675">
        <w:rPr>
          <w:rFonts w:ascii="Calibri" w:hAnsi="Calibri"/>
          <w:sz w:val="20"/>
          <w:szCs w:val="20"/>
        </w:rPr>
        <w:t xml:space="preserve">de Activo Circulante para pagar cada $ 1.00 de obligaciones a corto plazo, por lo que puede cubrir la exigibilidad de sus obligaciones. </w:t>
      </w:r>
    </w:p>
    <w:p w:rsidR="00A47351" w:rsidRPr="00734675" w:rsidRDefault="00A47351" w:rsidP="00A47351">
      <w:pPr>
        <w:pStyle w:val="Prrafodelista"/>
        <w:tabs>
          <w:tab w:val="left" w:pos="426"/>
        </w:tabs>
        <w:ind w:left="0"/>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El rubro de Cuentas por pagar a corto plazo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se encuentra integrada de la siguiente manera:</w:t>
      </w:r>
    </w:p>
    <w:p w:rsidR="00760557" w:rsidRPr="00734675" w:rsidRDefault="00760557" w:rsidP="00A47351">
      <w:pPr>
        <w:pStyle w:val="Prrafodelista"/>
        <w:tabs>
          <w:tab w:val="left" w:pos="426"/>
        </w:tabs>
        <w:ind w:left="0"/>
        <w:jc w:val="both"/>
        <w:rPr>
          <w:rFonts w:ascii="Calibri" w:hAnsi="Calibri"/>
          <w:sz w:val="20"/>
          <w:szCs w:val="20"/>
        </w:rPr>
      </w:pPr>
    </w:p>
    <w:p w:rsidR="00760557" w:rsidRPr="00734675" w:rsidRDefault="00760557" w:rsidP="00CE2F1B">
      <w:pPr>
        <w:pStyle w:val="Prrafodelista"/>
        <w:tabs>
          <w:tab w:val="left" w:pos="426"/>
        </w:tabs>
        <w:ind w:left="0"/>
        <w:jc w:val="center"/>
        <w:rPr>
          <w:rFonts w:ascii="Calibri" w:hAnsi="Calibri"/>
          <w:sz w:val="20"/>
          <w:szCs w:val="20"/>
        </w:rPr>
      </w:pPr>
    </w:p>
    <w:p w:rsidR="00A47351" w:rsidRPr="00734675" w:rsidRDefault="00ED20B6" w:rsidP="00F902FF">
      <w:pPr>
        <w:pStyle w:val="Prrafodelista"/>
        <w:tabs>
          <w:tab w:val="left" w:pos="426"/>
        </w:tabs>
        <w:ind w:left="0"/>
        <w:jc w:val="center"/>
        <w:rPr>
          <w:rFonts w:ascii="Calibri" w:hAnsi="Calibri"/>
          <w:sz w:val="20"/>
          <w:szCs w:val="20"/>
        </w:rPr>
      </w:pPr>
      <w:r w:rsidRPr="00734675">
        <w:rPr>
          <w:noProof/>
          <w:lang w:eastAsia="es-MX"/>
        </w:rPr>
        <w:drawing>
          <wp:inline distT="0" distB="0" distL="0" distR="0">
            <wp:extent cx="6031230" cy="1056317"/>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1230" cy="1056317"/>
                    </a:xfrm>
                    <a:prstGeom prst="rect">
                      <a:avLst/>
                    </a:prstGeom>
                    <a:noFill/>
                    <a:ln>
                      <a:noFill/>
                    </a:ln>
                  </pic:spPr>
                </pic:pic>
              </a:graphicData>
            </a:graphic>
          </wp:inline>
        </w:drawing>
      </w:r>
    </w:p>
    <w:p w:rsidR="00AF7224" w:rsidRPr="00734675" w:rsidRDefault="00AF7224"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numPr>
          <w:ilvl w:val="3"/>
          <w:numId w:val="34"/>
        </w:numPr>
        <w:tabs>
          <w:tab w:val="left" w:pos="284"/>
        </w:tabs>
        <w:rPr>
          <w:rFonts w:ascii="Calibri" w:hAnsi="Calibri"/>
          <w:sz w:val="20"/>
          <w:szCs w:val="20"/>
        </w:rPr>
      </w:pPr>
      <w:r w:rsidRPr="00734675">
        <w:rPr>
          <w:rFonts w:ascii="Calibri" w:hAnsi="Calibri"/>
          <w:sz w:val="20"/>
          <w:szCs w:val="20"/>
        </w:rPr>
        <w:t>La cuenta de proveedores por pagar a corto plazo se integra de la siguiente manera:</w:t>
      </w:r>
    </w:p>
    <w:p w:rsidR="00A2276B" w:rsidRPr="00734675" w:rsidRDefault="00A2276B" w:rsidP="00A2276B">
      <w:pPr>
        <w:pStyle w:val="Prrafodelista"/>
        <w:tabs>
          <w:tab w:val="left" w:pos="284"/>
        </w:tabs>
        <w:rPr>
          <w:rFonts w:ascii="Calibri" w:hAnsi="Calibri"/>
          <w:sz w:val="20"/>
          <w:szCs w:val="20"/>
        </w:rPr>
      </w:pPr>
    </w:p>
    <w:p w:rsidR="00A47351" w:rsidRPr="00734675" w:rsidRDefault="00F902FF" w:rsidP="00CE2F1B">
      <w:pPr>
        <w:pStyle w:val="Prrafodelista"/>
        <w:tabs>
          <w:tab w:val="left" w:pos="284"/>
        </w:tabs>
        <w:ind w:left="0"/>
        <w:jc w:val="center"/>
        <w:rPr>
          <w:rFonts w:ascii="Calibri" w:hAnsi="Calibri"/>
          <w:sz w:val="20"/>
          <w:szCs w:val="20"/>
        </w:rPr>
      </w:pPr>
      <w:r w:rsidRPr="00734675">
        <w:rPr>
          <w:noProof/>
          <w:lang w:eastAsia="es-MX"/>
        </w:rPr>
        <w:lastRenderedPageBreak/>
        <w:drawing>
          <wp:inline distT="0" distB="0" distL="0" distR="0">
            <wp:extent cx="5810250" cy="55054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5505450"/>
                    </a:xfrm>
                    <a:prstGeom prst="rect">
                      <a:avLst/>
                    </a:prstGeom>
                    <a:noFill/>
                    <a:ln>
                      <a:noFill/>
                    </a:ln>
                  </pic:spPr>
                </pic:pic>
              </a:graphicData>
            </a:graphic>
          </wp:inline>
        </w:drawing>
      </w:r>
    </w:p>
    <w:p w:rsidR="00FC3CAE" w:rsidRPr="00734675" w:rsidRDefault="00FC3CAE" w:rsidP="00790119">
      <w:pPr>
        <w:pStyle w:val="Prrafodelista"/>
        <w:tabs>
          <w:tab w:val="left" w:pos="284"/>
        </w:tabs>
        <w:ind w:left="0"/>
        <w:jc w:val="center"/>
        <w:rPr>
          <w:rFonts w:ascii="Calibri" w:hAnsi="Calibri"/>
          <w:sz w:val="20"/>
          <w:szCs w:val="20"/>
        </w:rPr>
      </w:pPr>
    </w:p>
    <w:p w:rsidR="00CB5FAA" w:rsidRPr="00734675" w:rsidRDefault="00CB5FAA" w:rsidP="00A47351">
      <w:pPr>
        <w:pStyle w:val="Prrafodelista"/>
        <w:tabs>
          <w:tab w:val="left" w:pos="284"/>
        </w:tabs>
        <w:ind w:left="0"/>
        <w:rPr>
          <w:rFonts w:ascii="Calibri" w:hAnsi="Calibri"/>
          <w:sz w:val="20"/>
          <w:szCs w:val="20"/>
        </w:rPr>
      </w:pPr>
    </w:p>
    <w:p w:rsidR="00A47351" w:rsidRPr="00734675" w:rsidRDefault="00A47351" w:rsidP="00A47351">
      <w:pPr>
        <w:pStyle w:val="Prrafodelista"/>
        <w:numPr>
          <w:ilvl w:val="0"/>
          <w:numId w:val="18"/>
        </w:numPr>
        <w:tabs>
          <w:tab w:val="left" w:pos="284"/>
        </w:tabs>
        <w:ind w:left="0" w:firstLine="0"/>
        <w:jc w:val="both"/>
        <w:rPr>
          <w:rFonts w:ascii="Calibri" w:hAnsi="Calibri"/>
          <w:sz w:val="20"/>
          <w:szCs w:val="20"/>
        </w:rPr>
      </w:pPr>
      <w:r w:rsidRPr="00734675">
        <w:rPr>
          <w:rFonts w:ascii="Calibri" w:hAnsi="Calibri"/>
          <w:sz w:val="20"/>
          <w:szCs w:val="20"/>
        </w:rPr>
        <w:t>Los saldos de proveedores en general presentan con una antigüedad no mayor a 90 días naturales, debido que existe la política de pago de 7 días hábiles posteriores a la entrega del comprobante fiscal a la Dirección de Administración y Finanzas del FIGAROSY.</w:t>
      </w:r>
    </w:p>
    <w:p w:rsidR="00A47351" w:rsidRPr="00734675" w:rsidRDefault="00A47351" w:rsidP="00A47351">
      <w:pPr>
        <w:pStyle w:val="Prrafodelista"/>
        <w:tabs>
          <w:tab w:val="left" w:pos="426"/>
        </w:tabs>
        <w:ind w:left="0"/>
        <w:jc w:val="right"/>
        <w:rPr>
          <w:rFonts w:ascii="Calibri" w:hAnsi="Calibri"/>
          <w:sz w:val="20"/>
          <w:szCs w:val="20"/>
        </w:rPr>
      </w:pPr>
    </w:p>
    <w:p w:rsidR="00A47351" w:rsidRPr="00734675" w:rsidRDefault="00A47351" w:rsidP="00A47351">
      <w:pPr>
        <w:pStyle w:val="Prrafodelista"/>
        <w:numPr>
          <w:ilvl w:val="3"/>
          <w:numId w:val="34"/>
        </w:numPr>
        <w:tabs>
          <w:tab w:val="left" w:pos="284"/>
        </w:tabs>
        <w:rPr>
          <w:rFonts w:ascii="Calibri" w:hAnsi="Calibri"/>
          <w:sz w:val="20"/>
          <w:szCs w:val="20"/>
        </w:rPr>
      </w:pPr>
      <w:r w:rsidRPr="00734675">
        <w:rPr>
          <w:rFonts w:ascii="Calibri" w:hAnsi="Calibri"/>
          <w:sz w:val="20"/>
          <w:szCs w:val="20"/>
        </w:rPr>
        <w:t>La cuenta de retenciones y contribuciones se integra de la siguiente manera:</w:t>
      </w:r>
    </w:p>
    <w:p w:rsidR="00790119" w:rsidRPr="00734675" w:rsidRDefault="00790119" w:rsidP="00790119">
      <w:pPr>
        <w:pStyle w:val="Prrafodelista"/>
        <w:tabs>
          <w:tab w:val="left" w:pos="284"/>
        </w:tabs>
        <w:rPr>
          <w:noProof/>
          <w:lang w:eastAsia="es-MX"/>
        </w:rPr>
      </w:pPr>
    </w:p>
    <w:p w:rsidR="00760557" w:rsidRPr="00734675" w:rsidRDefault="00F902FF" w:rsidP="00CE2F1B">
      <w:pPr>
        <w:pStyle w:val="Prrafodelista"/>
        <w:tabs>
          <w:tab w:val="left" w:pos="284"/>
        </w:tabs>
        <w:jc w:val="center"/>
        <w:rPr>
          <w:noProof/>
          <w:lang w:eastAsia="es-MX"/>
        </w:rPr>
      </w:pPr>
      <w:r w:rsidRPr="00734675">
        <w:rPr>
          <w:noProof/>
          <w:lang w:eastAsia="es-MX"/>
        </w:rPr>
        <w:lastRenderedPageBreak/>
        <w:drawing>
          <wp:inline distT="0" distB="0" distL="0" distR="0">
            <wp:extent cx="5810250" cy="39243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3924300"/>
                    </a:xfrm>
                    <a:prstGeom prst="rect">
                      <a:avLst/>
                    </a:prstGeom>
                    <a:noFill/>
                    <a:ln>
                      <a:noFill/>
                    </a:ln>
                  </pic:spPr>
                </pic:pic>
              </a:graphicData>
            </a:graphic>
          </wp:inline>
        </w:drawing>
      </w:r>
    </w:p>
    <w:p w:rsidR="00760557" w:rsidRPr="00734675" w:rsidRDefault="00760557" w:rsidP="00790119">
      <w:pPr>
        <w:pStyle w:val="Prrafodelista"/>
        <w:tabs>
          <w:tab w:val="left" w:pos="284"/>
        </w:tabs>
        <w:rPr>
          <w:noProof/>
          <w:lang w:eastAsia="es-MX"/>
        </w:rPr>
      </w:pPr>
    </w:p>
    <w:p w:rsidR="00760557" w:rsidRPr="00734675" w:rsidRDefault="00760557" w:rsidP="00790119">
      <w:pPr>
        <w:pStyle w:val="Prrafodelista"/>
        <w:tabs>
          <w:tab w:val="left" w:pos="284"/>
        </w:tabs>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 xml:space="preserve">Los saldos de retenciones y contribuciones presentados, corresponden al mes de </w:t>
      </w:r>
      <w:r w:rsidR="00F902FF" w:rsidRPr="00734675">
        <w:rPr>
          <w:rFonts w:ascii="Calibri" w:hAnsi="Calibri"/>
          <w:sz w:val="20"/>
          <w:szCs w:val="20"/>
        </w:rPr>
        <w:t>Febrero</w:t>
      </w:r>
      <w:r w:rsidR="00C43903" w:rsidRPr="00734675">
        <w:rPr>
          <w:rFonts w:ascii="Calibri" w:hAnsi="Calibri"/>
          <w:sz w:val="20"/>
          <w:szCs w:val="20"/>
        </w:rPr>
        <w:t xml:space="preserve"> </w:t>
      </w:r>
      <w:r w:rsidRPr="00734675">
        <w:rPr>
          <w:rFonts w:ascii="Calibri" w:hAnsi="Calibri"/>
          <w:sz w:val="20"/>
          <w:szCs w:val="20"/>
        </w:rPr>
        <w:t>de 202</w:t>
      </w:r>
      <w:r w:rsidR="00F902FF" w:rsidRPr="00734675">
        <w:rPr>
          <w:rFonts w:ascii="Calibri" w:hAnsi="Calibri"/>
          <w:sz w:val="20"/>
          <w:szCs w:val="20"/>
        </w:rPr>
        <w:t>2</w:t>
      </w:r>
      <w:r w:rsidRPr="00734675">
        <w:rPr>
          <w:rFonts w:ascii="Calibri" w:hAnsi="Calibri"/>
          <w:sz w:val="20"/>
          <w:szCs w:val="20"/>
        </w:rPr>
        <w:t xml:space="preserve"> y son pagaderos al mes siguiente.</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numPr>
          <w:ilvl w:val="0"/>
          <w:numId w:val="8"/>
        </w:numPr>
        <w:tabs>
          <w:tab w:val="left" w:pos="284"/>
        </w:tabs>
        <w:ind w:left="0" w:firstLine="0"/>
        <w:jc w:val="both"/>
        <w:rPr>
          <w:rFonts w:ascii="Calibri" w:hAnsi="Calibri"/>
          <w:sz w:val="20"/>
          <w:szCs w:val="20"/>
        </w:rPr>
      </w:pPr>
      <w:r w:rsidRPr="00734675">
        <w:rPr>
          <w:rFonts w:ascii="Calibri" w:hAnsi="Calibri"/>
          <w:sz w:val="20"/>
          <w:szCs w:val="20"/>
        </w:rPr>
        <w:t>Las contribuciones estatales (4 % sobre nómina) son enteradas y pagadas a la autoridad fiscal correspondiente a más tardar el 10 del mes de calendario inmediato posterior al de terminación del período de la retención.</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734675">
        <w:rPr>
          <w:rFonts w:ascii="Calibri" w:hAnsi="Calibri" w:cs="Arial"/>
          <w:bCs/>
          <w:sz w:val="20"/>
          <w:szCs w:val="20"/>
        </w:rPr>
        <w:t>La cuenta de otras cuentas por pagar a corto plazo, acumula los reembolsos de fondos fijos asignados al personal adscrito al Fideicomiso y los derechos migratorios de directores artísticos y solistas extranjeros invitados que se presentan en los conciertos de la Orquesta Sinfónica de Yucatán.</w:t>
      </w:r>
    </w:p>
    <w:p w:rsidR="00A47351" w:rsidRPr="00734675" w:rsidRDefault="00A47351" w:rsidP="00A47351">
      <w:pPr>
        <w:pStyle w:val="Prrafodelista"/>
        <w:tabs>
          <w:tab w:val="left" w:pos="284"/>
        </w:tabs>
        <w:ind w:left="0"/>
        <w:jc w:val="both"/>
        <w:rPr>
          <w:rFonts w:ascii="Calibri" w:hAnsi="Calibri" w:cs="Arial"/>
          <w:bCs/>
          <w:sz w:val="20"/>
          <w:szCs w:val="20"/>
        </w:rPr>
      </w:pPr>
    </w:p>
    <w:p w:rsidR="00A47351" w:rsidRPr="00734675"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734675">
        <w:rPr>
          <w:rFonts w:ascii="Calibri" w:hAnsi="Calibri" w:cs="Arial"/>
          <w:bCs/>
          <w:sz w:val="20"/>
          <w:szCs w:val="20"/>
        </w:rPr>
        <w:t>El FIGAROSY no tiene pasivos contingentes en sus re</w:t>
      </w:r>
      <w:r w:rsidR="00343301" w:rsidRPr="00734675">
        <w:rPr>
          <w:rFonts w:ascii="Calibri" w:hAnsi="Calibri" w:cs="Arial"/>
          <w:bCs/>
          <w:sz w:val="20"/>
          <w:szCs w:val="20"/>
        </w:rPr>
        <w:t xml:space="preserve">gistros contables </w:t>
      </w:r>
      <w:r w:rsidR="00F66D6B" w:rsidRPr="00734675">
        <w:rPr>
          <w:rFonts w:ascii="Calibri" w:hAnsi="Calibri" w:cs="Arial"/>
          <w:bCs/>
          <w:sz w:val="20"/>
          <w:szCs w:val="20"/>
        </w:rPr>
        <w:t xml:space="preserve">al </w:t>
      </w:r>
      <w:r w:rsidR="001B7FE1" w:rsidRPr="00734675">
        <w:rPr>
          <w:rFonts w:ascii="Calibri" w:hAnsi="Calibri" w:cs="Arial"/>
          <w:bCs/>
          <w:sz w:val="20"/>
          <w:szCs w:val="20"/>
        </w:rPr>
        <w:t>28 de febrero de 2022</w:t>
      </w:r>
      <w:r w:rsidRPr="00734675">
        <w:rPr>
          <w:rFonts w:ascii="Calibri" w:hAnsi="Calibri" w:cs="Arial"/>
          <w:bCs/>
          <w:sz w:val="20"/>
          <w:szCs w:val="20"/>
        </w:rPr>
        <w:t>.</w:t>
      </w:r>
    </w:p>
    <w:p w:rsidR="00A47351" w:rsidRPr="00734675" w:rsidRDefault="00A47351" w:rsidP="00A47351">
      <w:pPr>
        <w:tabs>
          <w:tab w:val="left" w:pos="284"/>
        </w:tabs>
        <w:ind w:firstLine="708"/>
        <w:rPr>
          <w:rFonts w:ascii="Calibri" w:hAnsi="Calibri" w:cs="Arial"/>
          <w:bCs/>
          <w:sz w:val="20"/>
          <w:szCs w:val="20"/>
        </w:rPr>
      </w:pPr>
    </w:p>
    <w:p w:rsidR="00A47351" w:rsidRPr="00734675" w:rsidRDefault="00A47351" w:rsidP="00A47351">
      <w:pPr>
        <w:pStyle w:val="Prrafodelista"/>
        <w:numPr>
          <w:ilvl w:val="0"/>
          <w:numId w:val="34"/>
        </w:numPr>
        <w:tabs>
          <w:tab w:val="left" w:pos="284"/>
        </w:tabs>
        <w:rPr>
          <w:rFonts w:ascii="Calibri" w:hAnsi="Calibri"/>
          <w:b/>
          <w:sz w:val="20"/>
          <w:szCs w:val="20"/>
        </w:rPr>
      </w:pPr>
      <w:r w:rsidRPr="00734675">
        <w:rPr>
          <w:rFonts w:ascii="Calibri" w:hAnsi="Calibri"/>
          <w:b/>
          <w:sz w:val="20"/>
          <w:szCs w:val="20"/>
        </w:rPr>
        <w:t>NOTAS AL ESTADO DE ACTIVIDADES.</w:t>
      </w:r>
    </w:p>
    <w:p w:rsidR="00A47351" w:rsidRPr="00734675" w:rsidRDefault="00A47351" w:rsidP="00A47351">
      <w:pPr>
        <w:tabs>
          <w:tab w:val="left" w:pos="426"/>
        </w:tabs>
        <w:rPr>
          <w:rFonts w:ascii="Calibri" w:hAnsi="Calibri"/>
          <w:b/>
          <w:sz w:val="20"/>
          <w:szCs w:val="20"/>
        </w:rPr>
      </w:pPr>
    </w:p>
    <w:p w:rsidR="00A47351" w:rsidRPr="00734675" w:rsidRDefault="00A47351" w:rsidP="00A47351">
      <w:pPr>
        <w:pStyle w:val="Prrafodelista"/>
        <w:tabs>
          <w:tab w:val="left" w:pos="426"/>
        </w:tabs>
        <w:ind w:left="0"/>
        <w:rPr>
          <w:rFonts w:ascii="Calibri" w:hAnsi="Calibri"/>
          <w:b/>
          <w:sz w:val="20"/>
          <w:szCs w:val="20"/>
        </w:rPr>
      </w:pPr>
      <w:r w:rsidRPr="00734675">
        <w:rPr>
          <w:rFonts w:ascii="Calibri" w:hAnsi="Calibri"/>
          <w:b/>
          <w:sz w:val="20"/>
          <w:szCs w:val="20"/>
        </w:rPr>
        <w:t>2.1 Ingresos de gestión.</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426"/>
        </w:tabs>
        <w:ind w:left="0"/>
        <w:rPr>
          <w:rFonts w:ascii="Calibri" w:hAnsi="Calibri"/>
          <w:b/>
          <w:sz w:val="20"/>
          <w:szCs w:val="20"/>
        </w:rPr>
      </w:pPr>
      <w:r w:rsidRPr="00734675">
        <w:rPr>
          <w:rFonts w:ascii="Calibri" w:hAnsi="Calibri"/>
          <w:b/>
          <w:sz w:val="20"/>
          <w:szCs w:val="20"/>
        </w:rPr>
        <w:t>2.1.1 Productos.</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0"/>
          <w:tab w:val="left" w:pos="284"/>
          <w:tab w:val="left" w:pos="426"/>
          <w:tab w:val="left" w:pos="567"/>
        </w:tabs>
        <w:ind w:left="0"/>
        <w:jc w:val="both"/>
        <w:rPr>
          <w:rFonts w:ascii="Calibri" w:hAnsi="Calibri"/>
          <w:sz w:val="20"/>
          <w:szCs w:val="20"/>
        </w:rPr>
      </w:pPr>
      <w:r w:rsidRPr="00734675">
        <w:rPr>
          <w:rFonts w:ascii="Calibri" w:hAnsi="Calibri"/>
          <w:sz w:val="20"/>
          <w:szCs w:val="20"/>
        </w:rPr>
        <w:t>La cuenta de ingresos financieros acumula los rendimientos devengados por la inversión en Nacional Financiera así como las cuentas bancarias; del 1</w:t>
      </w:r>
      <w:r w:rsidR="00343301"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CA0766" w:rsidRPr="00734675">
        <w:rPr>
          <w:rFonts w:ascii="Calibri" w:hAnsi="Calibri"/>
          <w:sz w:val="20"/>
          <w:szCs w:val="20"/>
        </w:rPr>
        <w:t xml:space="preserve"> </w:t>
      </w:r>
      <w:r w:rsidRPr="00734675">
        <w:rPr>
          <w:rFonts w:ascii="Calibri" w:hAnsi="Calibri"/>
          <w:sz w:val="20"/>
          <w:szCs w:val="20"/>
        </w:rPr>
        <w:t xml:space="preserve"> asciende a la cantidad </w:t>
      </w:r>
      <w:r w:rsidR="00CE2F1B" w:rsidRPr="00734675">
        <w:rPr>
          <w:rFonts w:ascii="Calibri" w:hAnsi="Calibri"/>
          <w:sz w:val="20"/>
          <w:szCs w:val="20"/>
        </w:rPr>
        <w:t>de $</w:t>
      </w:r>
      <w:r w:rsidR="00A522A1">
        <w:rPr>
          <w:rFonts w:ascii="Calibri" w:hAnsi="Calibri"/>
          <w:sz w:val="20"/>
          <w:szCs w:val="20"/>
        </w:rPr>
        <w:t xml:space="preserve">8,147.58 </w:t>
      </w:r>
      <w:r w:rsidRPr="00734675">
        <w:rPr>
          <w:rFonts w:ascii="Calibri" w:hAnsi="Calibri"/>
          <w:sz w:val="20"/>
          <w:szCs w:val="20"/>
        </w:rPr>
        <w:t>y se integra de la siguiente manera:</w:t>
      </w:r>
    </w:p>
    <w:p w:rsidR="00CE2F1B" w:rsidRPr="00734675" w:rsidRDefault="00CE2F1B" w:rsidP="00A47351">
      <w:pPr>
        <w:pStyle w:val="Prrafodelista"/>
        <w:tabs>
          <w:tab w:val="left" w:pos="0"/>
          <w:tab w:val="left" w:pos="284"/>
          <w:tab w:val="left" w:pos="426"/>
          <w:tab w:val="left" w:pos="567"/>
        </w:tabs>
        <w:ind w:left="0"/>
        <w:jc w:val="both"/>
        <w:rPr>
          <w:rFonts w:ascii="Calibri" w:hAnsi="Calibri"/>
          <w:sz w:val="20"/>
          <w:szCs w:val="20"/>
        </w:rPr>
      </w:pPr>
    </w:p>
    <w:p w:rsidR="006C4075" w:rsidRPr="00734675" w:rsidRDefault="006C4075" w:rsidP="00760557">
      <w:pPr>
        <w:pStyle w:val="Prrafodelista"/>
        <w:tabs>
          <w:tab w:val="left" w:pos="0"/>
          <w:tab w:val="left" w:pos="284"/>
          <w:tab w:val="left" w:pos="426"/>
          <w:tab w:val="left" w:pos="567"/>
        </w:tabs>
        <w:ind w:left="0"/>
        <w:jc w:val="center"/>
        <w:rPr>
          <w:rFonts w:ascii="Calibri" w:hAnsi="Calibri"/>
          <w:sz w:val="20"/>
          <w:szCs w:val="20"/>
        </w:rPr>
      </w:pPr>
    </w:p>
    <w:p w:rsidR="00D729B1" w:rsidRPr="00734675" w:rsidRDefault="001F60CB" w:rsidP="00D729B1">
      <w:pPr>
        <w:pStyle w:val="Prrafodelista"/>
        <w:tabs>
          <w:tab w:val="left" w:pos="0"/>
          <w:tab w:val="left" w:pos="284"/>
          <w:tab w:val="left" w:pos="426"/>
          <w:tab w:val="left" w:pos="567"/>
        </w:tabs>
        <w:ind w:left="0"/>
        <w:jc w:val="center"/>
        <w:rPr>
          <w:rFonts w:ascii="Calibri" w:hAnsi="Calibri"/>
          <w:sz w:val="20"/>
          <w:szCs w:val="20"/>
        </w:rPr>
      </w:pPr>
      <w:r w:rsidRPr="00734675">
        <w:rPr>
          <w:noProof/>
          <w:lang w:eastAsia="es-MX"/>
        </w:rPr>
        <w:drawing>
          <wp:inline distT="0" distB="0" distL="0" distR="0">
            <wp:extent cx="4410075" cy="116205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1162050"/>
                    </a:xfrm>
                    <a:prstGeom prst="rect">
                      <a:avLst/>
                    </a:prstGeom>
                    <a:noFill/>
                    <a:ln>
                      <a:noFill/>
                    </a:ln>
                  </pic:spPr>
                </pic:pic>
              </a:graphicData>
            </a:graphic>
          </wp:inline>
        </w:drawing>
      </w:r>
    </w:p>
    <w:p w:rsidR="00A2276B" w:rsidRPr="00734675" w:rsidRDefault="00A2276B" w:rsidP="00D729B1">
      <w:pPr>
        <w:pStyle w:val="Prrafodelista"/>
        <w:tabs>
          <w:tab w:val="left" w:pos="0"/>
          <w:tab w:val="left" w:pos="284"/>
          <w:tab w:val="left" w:pos="426"/>
          <w:tab w:val="left" w:pos="567"/>
        </w:tabs>
        <w:ind w:left="0"/>
        <w:jc w:val="center"/>
        <w:rPr>
          <w:rFonts w:ascii="Calibri" w:hAnsi="Calibri"/>
          <w:sz w:val="20"/>
          <w:szCs w:val="20"/>
        </w:rPr>
      </w:pPr>
    </w:p>
    <w:p w:rsidR="008B198E" w:rsidRPr="00734675" w:rsidRDefault="008B198E" w:rsidP="00A47351">
      <w:pPr>
        <w:pStyle w:val="Prrafodelista"/>
        <w:tabs>
          <w:tab w:val="left" w:pos="284"/>
        </w:tabs>
        <w:ind w:left="0"/>
        <w:jc w:val="both"/>
        <w:rPr>
          <w:rFonts w:ascii="Calibri" w:hAnsi="Calibri"/>
          <w:b/>
          <w:sz w:val="20"/>
          <w:szCs w:val="20"/>
        </w:rPr>
      </w:pPr>
    </w:p>
    <w:p w:rsidR="00A47351" w:rsidRPr="00734675" w:rsidRDefault="00A47351" w:rsidP="00A47351">
      <w:pPr>
        <w:pStyle w:val="Prrafodelista"/>
        <w:tabs>
          <w:tab w:val="left" w:pos="284"/>
        </w:tabs>
        <w:ind w:left="0"/>
        <w:jc w:val="both"/>
        <w:rPr>
          <w:rFonts w:ascii="Calibri" w:hAnsi="Calibri"/>
          <w:b/>
          <w:sz w:val="20"/>
          <w:szCs w:val="20"/>
        </w:rPr>
      </w:pPr>
      <w:r w:rsidRPr="00734675">
        <w:rPr>
          <w:rFonts w:ascii="Calibri" w:hAnsi="Calibri"/>
          <w:b/>
          <w:sz w:val="20"/>
          <w:szCs w:val="20"/>
        </w:rPr>
        <w:t>2.1.2</w:t>
      </w:r>
      <w:r w:rsidRPr="00734675">
        <w:rPr>
          <w:rFonts w:ascii="Calibri" w:hAnsi="Calibri"/>
          <w:sz w:val="20"/>
          <w:szCs w:val="20"/>
        </w:rPr>
        <w:t xml:space="preserve"> </w:t>
      </w:r>
      <w:r w:rsidRPr="00734675">
        <w:rPr>
          <w:rFonts w:ascii="Calibri" w:hAnsi="Calibri"/>
          <w:b/>
          <w:sz w:val="20"/>
          <w:szCs w:val="20"/>
        </w:rPr>
        <w:t>Ingresos por venta de bienes y servicios de organismos descentralizados.</w:t>
      </w:r>
    </w:p>
    <w:p w:rsidR="00A47351" w:rsidRPr="00734675" w:rsidRDefault="00A47351" w:rsidP="00A47351">
      <w:pPr>
        <w:pStyle w:val="Prrafodelista"/>
        <w:tabs>
          <w:tab w:val="left" w:pos="284"/>
        </w:tabs>
        <w:ind w:left="0"/>
        <w:jc w:val="center"/>
        <w:rPr>
          <w:rFonts w:ascii="Calibri" w:hAnsi="Calibri" w:cs="Arial"/>
          <w:bCs/>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El rubro de Ingresos por venta de bienes y servicios de organismos descentralizados producidos del 1</w:t>
      </w:r>
      <w:r w:rsidR="00343301"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se encuentra integrado de la siguiente manera:</w:t>
      </w:r>
    </w:p>
    <w:p w:rsidR="00CE2F1B" w:rsidRPr="00734675" w:rsidRDefault="00CE2F1B" w:rsidP="00A47351">
      <w:pPr>
        <w:tabs>
          <w:tab w:val="left" w:pos="284"/>
        </w:tabs>
        <w:jc w:val="both"/>
        <w:rPr>
          <w:rFonts w:ascii="Calibri" w:hAnsi="Calibri"/>
          <w:sz w:val="20"/>
          <w:szCs w:val="20"/>
        </w:rPr>
      </w:pPr>
    </w:p>
    <w:p w:rsidR="00CE2F1B" w:rsidRPr="00734675" w:rsidRDefault="00263BCA" w:rsidP="00CE2F1B">
      <w:pPr>
        <w:tabs>
          <w:tab w:val="left" w:pos="284"/>
        </w:tabs>
        <w:jc w:val="center"/>
        <w:rPr>
          <w:rFonts w:ascii="Calibri" w:hAnsi="Calibri"/>
          <w:sz w:val="20"/>
          <w:szCs w:val="20"/>
        </w:rPr>
      </w:pPr>
      <w:r w:rsidRPr="00734675">
        <w:rPr>
          <w:noProof/>
          <w:lang w:eastAsia="es-MX"/>
        </w:rPr>
        <w:drawing>
          <wp:inline distT="0" distB="0" distL="0" distR="0">
            <wp:extent cx="6031230" cy="1047798"/>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1230" cy="1047798"/>
                    </a:xfrm>
                    <a:prstGeom prst="rect">
                      <a:avLst/>
                    </a:prstGeom>
                    <a:noFill/>
                    <a:ln>
                      <a:noFill/>
                    </a:ln>
                  </pic:spPr>
                </pic:pic>
              </a:graphicData>
            </a:graphic>
          </wp:inline>
        </w:drawing>
      </w:r>
    </w:p>
    <w:p w:rsidR="00A47351" w:rsidRPr="00734675" w:rsidRDefault="00A47351" w:rsidP="00A47351">
      <w:pPr>
        <w:tabs>
          <w:tab w:val="left" w:pos="284"/>
        </w:tabs>
        <w:rPr>
          <w:rFonts w:ascii="Calibri" w:hAnsi="Calibri"/>
          <w:sz w:val="20"/>
          <w:szCs w:val="20"/>
        </w:rPr>
      </w:pPr>
    </w:p>
    <w:p w:rsidR="00760557" w:rsidRPr="00734675" w:rsidRDefault="00760557" w:rsidP="00760557">
      <w:pPr>
        <w:tabs>
          <w:tab w:val="left" w:pos="284"/>
        </w:tabs>
        <w:jc w:val="center"/>
        <w:rPr>
          <w:rFonts w:ascii="Calibri" w:hAnsi="Calibri"/>
          <w:b/>
          <w:sz w:val="20"/>
          <w:szCs w:val="20"/>
        </w:rPr>
      </w:pPr>
    </w:p>
    <w:p w:rsidR="00A47351" w:rsidRPr="00734675" w:rsidRDefault="00A47351" w:rsidP="00A47351">
      <w:pPr>
        <w:pStyle w:val="Prrafodelista"/>
        <w:tabs>
          <w:tab w:val="left" w:pos="426"/>
          <w:tab w:val="left" w:pos="567"/>
        </w:tabs>
        <w:ind w:left="0"/>
        <w:jc w:val="both"/>
        <w:rPr>
          <w:rFonts w:ascii="Calibri" w:hAnsi="Calibri"/>
          <w:sz w:val="20"/>
          <w:szCs w:val="20"/>
        </w:rPr>
      </w:pPr>
      <w:r w:rsidRPr="00734675">
        <w:rPr>
          <w:rFonts w:ascii="Calibri" w:hAnsi="Calibri"/>
          <w:b/>
          <w:sz w:val="20"/>
          <w:szCs w:val="20"/>
        </w:rPr>
        <w:t>2.1.2.1</w:t>
      </w:r>
      <w:r w:rsidRPr="00734675">
        <w:rPr>
          <w:rFonts w:ascii="Calibri" w:hAnsi="Calibri"/>
          <w:sz w:val="20"/>
          <w:szCs w:val="20"/>
        </w:rPr>
        <w:t xml:space="preserve"> En la cuenta de ingresos por venta de localidades de la OSY, que acumula el importe total de la venta de localidades por las presentaciones de la Orquesta Sinfónica de Yucatán, en efectivo, tarjeta de crédito o débito y a través la página web (venta en línea) del 1</w:t>
      </w:r>
      <w:r w:rsidR="005D2BFB"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xml:space="preserve">, asciende a la cantidad de </w:t>
      </w:r>
      <w:r w:rsidR="00DC3877" w:rsidRPr="00734675">
        <w:rPr>
          <w:rFonts w:ascii="Calibri" w:hAnsi="Calibri"/>
          <w:sz w:val="20"/>
          <w:szCs w:val="20"/>
        </w:rPr>
        <w:t>$</w:t>
      </w:r>
      <w:r w:rsidR="00B5521F" w:rsidRPr="00734675">
        <w:rPr>
          <w:rFonts w:ascii="Calibri" w:hAnsi="Calibri"/>
          <w:sz w:val="20"/>
          <w:szCs w:val="20"/>
        </w:rPr>
        <w:t>1,823,857.50</w:t>
      </w:r>
      <w:r w:rsidR="00803CE9" w:rsidRPr="00734675">
        <w:rPr>
          <w:rFonts w:ascii="Calibri" w:hAnsi="Calibri"/>
          <w:sz w:val="20"/>
          <w:szCs w:val="20"/>
        </w:rPr>
        <w:t xml:space="preserve"> </w:t>
      </w:r>
      <w:r w:rsidRPr="00734675">
        <w:rPr>
          <w:rFonts w:ascii="Calibri" w:hAnsi="Calibri"/>
          <w:sz w:val="20"/>
          <w:szCs w:val="20"/>
        </w:rPr>
        <w:t xml:space="preserve">y se integra de la siguiente manera:  </w:t>
      </w:r>
    </w:p>
    <w:p w:rsidR="00B5521F" w:rsidRPr="00734675" w:rsidRDefault="00B5521F" w:rsidP="00760557">
      <w:pPr>
        <w:pStyle w:val="Prrafodelista"/>
        <w:tabs>
          <w:tab w:val="left" w:pos="284"/>
        </w:tabs>
        <w:ind w:left="0"/>
        <w:jc w:val="center"/>
        <w:rPr>
          <w:rFonts w:ascii="Calibri" w:hAnsi="Calibri"/>
          <w:sz w:val="20"/>
          <w:szCs w:val="20"/>
        </w:rPr>
      </w:pPr>
    </w:p>
    <w:p w:rsidR="00760557" w:rsidRPr="00734675" w:rsidRDefault="001F60CB" w:rsidP="00760557">
      <w:pPr>
        <w:pStyle w:val="Prrafodelista"/>
        <w:tabs>
          <w:tab w:val="left" w:pos="284"/>
        </w:tabs>
        <w:ind w:left="0"/>
        <w:jc w:val="center"/>
        <w:rPr>
          <w:rFonts w:ascii="Calibri" w:hAnsi="Calibri"/>
          <w:sz w:val="20"/>
          <w:szCs w:val="20"/>
        </w:rPr>
      </w:pPr>
      <w:r w:rsidRPr="00734675">
        <w:rPr>
          <w:noProof/>
          <w:lang w:eastAsia="es-MX"/>
        </w:rPr>
        <w:drawing>
          <wp:inline distT="0" distB="0" distL="0" distR="0">
            <wp:extent cx="4410075" cy="590550"/>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0075" cy="590550"/>
                    </a:xfrm>
                    <a:prstGeom prst="rect">
                      <a:avLst/>
                    </a:prstGeom>
                    <a:noFill/>
                    <a:ln>
                      <a:noFill/>
                    </a:ln>
                  </pic:spPr>
                </pic:pic>
              </a:graphicData>
            </a:graphic>
          </wp:inline>
        </w:drawing>
      </w:r>
    </w:p>
    <w:p w:rsidR="00B5521F" w:rsidRPr="00734675" w:rsidRDefault="00B5521F" w:rsidP="00760557">
      <w:pPr>
        <w:pStyle w:val="Prrafodelista"/>
        <w:tabs>
          <w:tab w:val="left" w:pos="284"/>
        </w:tabs>
        <w:ind w:left="0"/>
        <w:jc w:val="center"/>
        <w:rPr>
          <w:rFonts w:ascii="Calibri" w:hAnsi="Calibri"/>
          <w:sz w:val="20"/>
          <w:szCs w:val="20"/>
        </w:rPr>
      </w:pPr>
    </w:p>
    <w:p w:rsidR="00A47351" w:rsidRPr="00734675" w:rsidRDefault="00A47351" w:rsidP="00A47351">
      <w:pPr>
        <w:pStyle w:val="Prrafodelista"/>
        <w:numPr>
          <w:ilvl w:val="3"/>
          <w:numId w:val="48"/>
        </w:numPr>
        <w:tabs>
          <w:tab w:val="left" w:pos="426"/>
          <w:tab w:val="left" w:pos="709"/>
        </w:tabs>
        <w:jc w:val="both"/>
        <w:rPr>
          <w:rFonts w:ascii="Calibri" w:hAnsi="Calibri"/>
          <w:sz w:val="20"/>
          <w:szCs w:val="20"/>
        </w:rPr>
      </w:pPr>
      <w:r w:rsidRPr="00734675">
        <w:rPr>
          <w:rFonts w:ascii="Calibri" w:hAnsi="Calibri"/>
          <w:sz w:val="20"/>
          <w:szCs w:val="20"/>
        </w:rPr>
        <w:t>La cuenta de otros ingresos se integra de la siguiente manera:</w:t>
      </w:r>
    </w:p>
    <w:p w:rsidR="00803CE9" w:rsidRPr="00734675" w:rsidRDefault="00803CE9" w:rsidP="00803CE9">
      <w:pPr>
        <w:pStyle w:val="Prrafodelista"/>
        <w:tabs>
          <w:tab w:val="left" w:pos="426"/>
          <w:tab w:val="left" w:pos="709"/>
        </w:tabs>
        <w:jc w:val="both"/>
        <w:rPr>
          <w:rFonts w:ascii="Calibri" w:hAnsi="Calibri"/>
          <w:sz w:val="20"/>
          <w:szCs w:val="20"/>
        </w:rPr>
      </w:pPr>
    </w:p>
    <w:p w:rsidR="00A47351" w:rsidRPr="00734675" w:rsidRDefault="00B5521F" w:rsidP="00803CE9">
      <w:pPr>
        <w:pStyle w:val="Prrafodelista"/>
        <w:tabs>
          <w:tab w:val="left" w:pos="4184"/>
        </w:tabs>
        <w:ind w:left="0"/>
        <w:jc w:val="center"/>
        <w:rPr>
          <w:rFonts w:ascii="Calibri" w:hAnsi="Calibri"/>
          <w:sz w:val="20"/>
          <w:szCs w:val="20"/>
        </w:rPr>
      </w:pPr>
      <w:r w:rsidRPr="00734675">
        <w:rPr>
          <w:noProof/>
          <w:lang w:eastAsia="es-MX"/>
        </w:rPr>
        <w:drawing>
          <wp:inline distT="0" distB="0" distL="0" distR="0">
            <wp:extent cx="4410075" cy="97155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0075" cy="971550"/>
                    </a:xfrm>
                    <a:prstGeom prst="rect">
                      <a:avLst/>
                    </a:prstGeom>
                    <a:noFill/>
                    <a:ln>
                      <a:noFill/>
                    </a:ln>
                  </pic:spPr>
                </pic:pic>
              </a:graphicData>
            </a:graphic>
          </wp:inline>
        </w:drawing>
      </w:r>
    </w:p>
    <w:p w:rsidR="00760557" w:rsidRPr="00734675" w:rsidRDefault="00760557" w:rsidP="00A47351">
      <w:pPr>
        <w:pStyle w:val="Prrafodelista"/>
        <w:tabs>
          <w:tab w:val="left" w:pos="4184"/>
        </w:tabs>
        <w:ind w:left="0"/>
        <w:rPr>
          <w:rFonts w:ascii="Calibri" w:hAnsi="Calibri"/>
          <w:sz w:val="20"/>
          <w:szCs w:val="20"/>
        </w:rPr>
      </w:pPr>
    </w:p>
    <w:p w:rsidR="009254A7" w:rsidRPr="00734675" w:rsidRDefault="009254A7" w:rsidP="00A47351">
      <w:pPr>
        <w:jc w:val="both"/>
        <w:rPr>
          <w:rFonts w:ascii="Calibri" w:hAnsi="Calibri"/>
          <w:sz w:val="20"/>
          <w:szCs w:val="20"/>
        </w:rPr>
      </w:pPr>
    </w:p>
    <w:p w:rsidR="00961643" w:rsidRPr="00734675" w:rsidRDefault="00961643" w:rsidP="00961643">
      <w:pPr>
        <w:pStyle w:val="Prrafodelista"/>
        <w:numPr>
          <w:ilvl w:val="1"/>
          <w:numId w:val="48"/>
        </w:numPr>
        <w:tabs>
          <w:tab w:val="left" w:pos="284"/>
          <w:tab w:val="left" w:pos="567"/>
        </w:tabs>
        <w:jc w:val="both"/>
        <w:rPr>
          <w:rFonts w:ascii="Calibri" w:hAnsi="Calibri"/>
          <w:b/>
          <w:sz w:val="20"/>
          <w:szCs w:val="20"/>
        </w:rPr>
      </w:pPr>
      <w:r w:rsidRPr="00734675">
        <w:rPr>
          <w:rFonts w:ascii="Calibri" w:hAnsi="Calibri"/>
          <w:b/>
          <w:sz w:val="20"/>
          <w:szCs w:val="20"/>
        </w:rPr>
        <w:t>Participaciones, Aportaciones, Convenios, Incentivos derivados de la colaboración fiscal, Fondos distintos de aportaciones, Transferencias, Asignaciones, Subsidios y Subvenciones y Pensiones y Jubilaciones.</w:t>
      </w:r>
    </w:p>
    <w:p w:rsidR="00A47351" w:rsidRPr="00734675" w:rsidRDefault="00A47351" w:rsidP="00A47351">
      <w:pPr>
        <w:pStyle w:val="Prrafodelista"/>
        <w:tabs>
          <w:tab w:val="left" w:pos="284"/>
          <w:tab w:val="left" w:pos="567"/>
        </w:tabs>
        <w:ind w:left="0"/>
        <w:jc w:val="both"/>
        <w:rPr>
          <w:rFonts w:ascii="Calibri" w:hAnsi="Calibri"/>
          <w:sz w:val="20"/>
          <w:szCs w:val="20"/>
        </w:rPr>
      </w:pPr>
    </w:p>
    <w:p w:rsidR="00A47351" w:rsidRPr="00734675" w:rsidRDefault="00A47351" w:rsidP="00A47351">
      <w:pPr>
        <w:pStyle w:val="Prrafodelista"/>
        <w:tabs>
          <w:tab w:val="left" w:pos="284"/>
          <w:tab w:val="left" w:pos="567"/>
        </w:tabs>
        <w:ind w:left="0"/>
        <w:jc w:val="both"/>
        <w:rPr>
          <w:rFonts w:ascii="Calibri" w:hAnsi="Calibri"/>
          <w:sz w:val="20"/>
          <w:szCs w:val="20"/>
        </w:rPr>
      </w:pPr>
      <w:r w:rsidRPr="00734675">
        <w:rPr>
          <w:rFonts w:ascii="Calibri" w:hAnsi="Calibri"/>
          <w:sz w:val="20"/>
          <w:szCs w:val="20"/>
        </w:rPr>
        <w:t xml:space="preserve">El rubro de Transferencias, asignaciones, subsidios y otras ayudas, acumula las ministraciones que trasfiere el Gobierno del Estado de Yucatán al FIGAROSY, conforme al Decreto número </w:t>
      </w:r>
      <w:r w:rsidR="004C77E4" w:rsidRPr="00734675">
        <w:rPr>
          <w:rFonts w:ascii="Calibri" w:hAnsi="Calibri"/>
          <w:sz w:val="20"/>
          <w:szCs w:val="20"/>
        </w:rPr>
        <w:t>441</w:t>
      </w:r>
      <w:r w:rsidRPr="00734675">
        <w:rPr>
          <w:rFonts w:ascii="Calibri" w:hAnsi="Calibri"/>
          <w:sz w:val="20"/>
          <w:szCs w:val="20"/>
        </w:rPr>
        <w:t>/202</w:t>
      </w:r>
      <w:r w:rsidR="004C77E4" w:rsidRPr="00734675">
        <w:rPr>
          <w:rFonts w:ascii="Calibri" w:hAnsi="Calibri"/>
          <w:sz w:val="20"/>
          <w:szCs w:val="20"/>
        </w:rPr>
        <w:t>1</w:t>
      </w:r>
      <w:r w:rsidRPr="00734675">
        <w:rPr>
          <w:rFonts w:ascii="Calibri" w:hAnsi="Calibri"/>
          <w:sz w:val="20"/>
          <w:szCs w:val="20"/>
        </w:rPr>
        <w:t xml:space="preserve"> de fecha 3</w:t>
      </w:r>
      <w:r w:rsidR="00C43903" w:rsidRPr="00734675">
        <w:rPr>
          <w:rFonts w:ascii="Calibri" w:hAnsi="Calibri"/>
          <w:sz w:val="20"/>
          <w:szCs w:val="20"/>
        </w:rPr>
        <w:t>0</w:t>
      </w:r>
      <w:r w:rsidRPr="00734675">
        <w:rPr>
          <w:rFonts w:ascii="Calibri" w:hAnsi="Calibri"/>
          <w:sz w:val="20"/>
          <w:szCs w:val="20"/>
        </w:rPr>
        <w:t xml:space="preserve"> de Diciembre de 202</w:t>
      </w:r>
      <w:r w:rsidR="00B5521F" w:rsidRPr="00734675">
        <w:rPr>
          <w:rFonts w:ascii="Calibri" w:hAnsi="Calibri"/>
          <w:sz w:val="20"/>
          <w:szCs w:val="20"/>
        </w:rPr>
        <w:t>1</w:t>
      </w:r>
      <w:r w:rsidRPr="00734675">
        <w:rPr>
          <w:rFonts w:ascii="Calibri" w:hAnsi="Calibri"/>
          <w:sz w:val="20"/>
          <w:szCs w:val="20"/>
        </w:rPr>
        <w:t xml:space="preserve">, publicado en el Diario oficial del Estado de Yucatán, se autorizó erogar la cantidad de $ </w:t>
      </w:r>
      <w:r w:rsidR="004C77E4" w:rsidRPr="00734675">
        <w:rPr>
          <w:rFonts w:ascii="Calibri" w:hAnsi="Calibri"/>
          <w:sz w:val="20"/>
          <w:szCs w:val="20"/>
        </w:rPr>
        <w:t xml:space="preserve">31,075,863.00 </w:t>
      </w:r>
      <w:r w:rsidRPr="00734675">
        <w:rPr>
          <w:rFonts w:ascii="Calibri" w:hAnsi="Calibri"/>
          <w:sz w:val="20"/>
          <w:szCs w:val="20"/>
        </w:rPr>
        <w:t xml:space="preserve"> para el e</w:t>
      </w:r>
      <w:r w:rsidR="004C77E4" w:rsidRPr="00734675">
        <w:rPr>
          <w:rFonts w:ascii="Calibri" w:hAnsi="Calibri"/>
          <w:sz w:val="20"/>
          <w:szCs w:val="20"/>
        </w:rPr>
        <w:t>jercicio 2022</w:t>
      </w:r>
      <w:r w:rsidRPr="00734675">
        <w:rPr>
          <w:rFonts w:ascii="Calibri" w:hAnsi="Calibri"/>
          <w:sz w:val="20"/>
          <w:szCs w:val="20"/>
        </w:rPr>
        <w:t>.</w:t>
      </w:r>
    </w:p>
    <w:p w:rsidR="00A47351" w:rsidRPr="00734675" w:rsidRDefault="00A47351" w:rsidP="00A47351">
      <w:pPr>
        <w:pStyle w:val="Prrafodelista"/>
        <w:tabs>
          <w:tab w:val="left" w:pos="284"/>
        </w:tabs>
        <w:ind w:left="0"/>
        <w:jc w:val="both"/>
        <w:rPr>
          <w:rFonts w:ascii="Calibri" w:hAnsi="Calibri"/>
          <w:sz w:val="20"/>
          <w:szCs w:val="20"/>
        </w:rPr>
      </w:pPr>
    </w:p>
    <w:p w:rsidR="00760557" w:rsidRPr="00734675" w:rsidRDefault="00A47351" w:rsidP="00760557">
      <w:pPr>
        <w:pStyle w:val="Textoindependiente"/>
        <w:tabs>
          <w:tab w:val="left" w:pos="426"/>
        </w:tabs>
        <w:rPr>
          <w:rFonts w:ascii="Calibri" w:hAnsi="Calibri"/>
          <w:sz w:val="20"/>
          <w:szCs w:val="20"/>
        </w:rPr>
      </w:pPr>
      <w:r w:rsidRPr="00734675">
        <w:rPr>
          <w:rFonts w:ascii="Calibri" w:hAnsi="Calibri"/>
          <w:sz w:val="20"/>
          <w:szCs w:val="20"/>
        </w:rPr>
        <w:lastRenderedPageBreak/>
        <w:t>La Dirección de Tesorería General de la Secretaría de Administración y Finanzas ha transferido al Fideicomiso la cantidad de $</w:t>
      </w:r>
      <w:r w:rsidR="00CC12AE" w:rsidRPr="00734675">
        <w:rPr>
          <w:rFonts w:ascii="Calibri" w:hAnsi="Calibri"/>
          <w:sz w:val="20"/>
          <w:szCs w:val="20"/>
        </w:rPr>
        <w:t>3,703,554</w:t>
      </w:r>
      <w:r w:rsidR="004C77E4" w:rsidRPr="00734675">
        <w:rPr>
          <w:rFonts w:ascii="Calibri" w:hAnsi="Calibri"/>
          <w:sz w:val="20"/>
          <w:szCs w:val="20"/>
        </w:rPr>
        <w:t xml:space="preserve">.00 </w:t>
      </w:r>
      <w:r w:rsidRPr="00734675">
        <w:rPr>
          <w:rFonts w:ascii="Calibri" w:hAnsi="Calibri"/>
          <w:sz w:val="20"/>
          <w:szCs w:val="20"/>
        </w:rPr>
        <w:t>por el período del 1</w:t>
      </w:r>
      <w:r w:rsidR="005D2BFB"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760557" w:rsidRPr="00734675">
        <w:rPr>
          <w:rFonts w:ascii="Calibri" w:hAnsi="Calibri"/>
          <w:sz w:val="20"/>
          <w:szCs w:val="20"/>
        </w:rPr>
        <w:t>.</w:t>
      </w:r>
      <w:r w:rsidR="00CA0766" w:rsidRPr="00734675">
        <w:rPr>
          <w:rFonts w:ascii="Calibri" w:hAnsi="Calibri"/>
          <w:sz w:val="20"/>
          <w:szCs w:val="20"/>
        </w:rPr>
        <w:t xml:space="preserve"> </w:t>
      </w:r>
    </w:p>
    <w:p w:rsidR="00760557" w:rsidRPr="00734675" w:rsidRDefault="00760557" w:rsidP="00760557">
      <w:pPr>
        <w:pStyle w:val="Textoindependiente"/>
        <w:tabs>
          <w:tab w:val="left" w:pos="426"/>
        </w:tabs>
        <w:rPr>
          <w:rFonts w:ascii="Calibri" w:hAnsi="Calibri"/>
          <w:b/>
          <w:sz w:val="20"/>
          <w:szCs w:val="20"/>
        </w:rPr>
      </w:pPr>
    </w:p>
    <w:p w:rsidR="00A47351" w:rsidRPr="00734675" w:rsidRDefault="00961643" w:rsidP="00760557">
      <w:pPr>
        <w:pStyle w:val="Textoindependiente"/>
        <w:tabs>
          <w:tab w:val="left" w:pos="426"/>
        </w:tabs>
        <w:rPr>
          <w:rFonts w:ascii="Calibri" w:hAnsi="Calibri"/>
          <w:b/>
          <w:sz w:val="20"/>
          <w:szCs w:val="20"/>
        </w:rPr>
      </w:pPr>
      <w:r w:rsidRPr="00734675">
        <w:rPr>
          <w:rFonts w:ascii="Calibri" w:hAnsi="Calibri"/>
          <w:b/>
          <w:sz w:val="20"/>
          <w:szCs w:val="20"/>
        </w:rPr>
        <w:t xml:space="preserve">2.3 </w:t>
      </w:r>
      <w:r w:rsidR="00A47351" w:rsidRPr="00734675">
        <w:rPr>
          <w:rFonts w:ascii="Calibri" w:hAnsi="Calibri"/>
          <w:b/>
          <w:sz w:val="20"/>
          <w:szCs w:val="20"/>
        </w:rPr>
        <w:t xml:space="preserve">Otros ingresos y beneficios. </w:t>
      </w:r>
    </w:p>
    <w:p w:rsidR="00A47351" w:rsidRPr="00734675" w:rsidRDefault="00A47351" w:rsidP="00A47351">
      <w:pPr>
        <w:pStyle w:val="Prrafodelista"/>
        <w:tabs>
          <w:tab w:val="left" w:pos="0"/>
          <w:tab w:val="left" w:pos="284"/>
          <w:tab w:val="left" w:pos="426"/>
          <w:tab w:val="left" w:pos="567"/>
        </w:tabs>
        <w:ind w:left="0"/>
        <w:jc w:val="both"/>
        <w:rPr>
          <w:rFonts w:ascii="Calibri" w:hAnsi="Calibri"/>
          <w:b/>
          <w:bCs/>
          <w:sz w:val="20"/>
          <w:szCs w:val="20"/>
        </w:rPr>
      </w:pPr>
    </w:p>
    <w:p w:rsidR="00961643" w:rsidRPr="00734675" w:rsidRDefault="00F712A2" w:rsidP="00961643">
      <w:pPr>
        <w:pStyle w:val="Prrafodelista"/>
        <w:tabs>
          <w:tab w:val="left" w:pos="284"/>
        </w:tabs>
        <w:ind w:left="0"/>
        <w:jc w:val="both"/>
        <w:rPr>
          <w:rFonts w:ascii="Calibri" w:hAnsi="Calibri"/>
          <w:sz w:val="20"/>
          <w:szCs w:val="20"/>
        </w:rPr>
      </w:pPr>
      <w:r w:rsidRPr="00734675">
        <w:rPr>
          <w:rFonts w:ascii="Calibri" w:hAnsi="Calibri"/>
          <w:sz w:val="20"/>
          <w:szCs w:val="20"/>
        </w:rPr>
        <w:t>En el período que se reporta, no se cuenta con otros ingresos y beneficios.</w:t>
      </w:r>
    </w:p>
    <w:p w:rsidR="004C77E4" w:rsidRPr="00734675" w:rsidRDefault="004C77E4" w:rsidP="00A47351">
      <w:pPr>
        <w:pStyle w:val="Prrafodelista"/>
        <w:tabs>
          <w:tab w:val="left" w:pos="284"/>
        </w:tabs>
        <w:ind w:left="0"/>
        <w:jc w:val="both"/>
        <w:rPr>
          <w:rFonts w:ascii="Calibri" w:hAnsi="Calibri"/>
          <w:sz w:val="20"/>
          <w:szCs w:val="20"/>
        </w:rPr>
      </w:pPr>
    </w:p>
    <w:p w:rsidR="004C77E4" w:rsidRPr="00734675" w:rsidRDefault="004C77E4"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tabs>
          <w:tab w:val="left" w:pos="426"/>
        </w:tabs>
        <w:ind w:left="0"/>
        <w:rPr>
          <w:rFonts w:ascii="Calibri" w:hAnsi="Calibri"/>
          <w:b/>
          <w:sz w:val="20"/>
          <w:szCs w:val="20"/>
        </w:rPr>
      </w:pPr>
      <w:r w:rsidRPr="00734675">
        <w:rPr>
          <w:rFonts w:ascii="Calibri" w:hAnsi="Calibri"/>
          <w:b/>
          <w:sz w:val="20"/>
          <w:szCs w:val="20"/>
        </w:rPr>
        <w:t>2.4.1 Gastos de Funcionamiento.</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El gasto erogado por el período de</w:t>
      </w:r>
      <w:r w:rsidR="005D2BFB" w:rsidRPr="00734675">
        <w:rPr>
          <w:rFonts w:ascii="Calibri" w:hAnsi="Calibri"/>
          <w:sz w:val="20"/>
          <w:szCs w:val="20"/>
        </w:rPr>
        <w:t xml:space="preserve">l 1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6B2008" w:rsidRPr="00734675">
        <w:rPr>
          <w:rFonts w:ascii="Calibri" w:hAnsi="Calibri"/>
          <w:sz w:val="20"/>
          <w:szCs w:val="20"/>
        </w:rPr>
        <w:t>,</w:t>
      </w:r>
      <w:r w:rsidRPr="00734675">
        <w:rPr>
          <w:rFonts w:ascii="Calibri" w:hAnsi="Calibri"/>
          <w:sz w:val="20"/>
          <w:szCs w:val="20"/>
        </w:rPr>
        <w:t xml:space="preserve"> por concepto de Gasto Operativo y Presentaciones de la Orquesta Sinfónica de Yucatán, es el siguiente:</w:t>
      </w:r>
    </w:p>
    <w:p w:rsidR="0072004F" w:rsidRPr="00734675" w:rsidRDefault="0072004F" w:rsidP="00A47351">
      <w:pPr>
        <w:tabs>
          <w:tab w:val="left" w:pos="284"/>
        </w:tabs>
        <w:jc w:val="both"/>
        <w:rPr>
          <w:rFonts w:ascii="Calibri" w:hAnsi="Calibri"/>
          <w:sz w:val="20"/>
          <w:szCs w:val="20"/>
        </w:rPr>
      </w:pPr>
    </w:p>
    <w:p w:rsidR="0072004F" w:rsidRPr="00734675" w:rsidRDefault="00C41DBA" w:rsidP="00A47351">
      <w:pPr>
        <w:tabs>
          <w:tab w:val="left" w:pos="284"/>
        </w:tabs>
        <w:jc w:val="both"/>
        <w:rPr>
          <w:rFonts w:ascii="Calibri" w:hAnsi="Calibri"/>
          <w:sz w:val="20"/>
          <w:szCs w:val="20"/>
        </w:rPr>
      </w:pPr>
      <w:r w:rsidRPr="00734675">
        <w:rPr>
          <w:noProof/>
          <w:lang w:eastAsia="es-MX"/>
        </w:rPr>
        <w:drawing>
          <wp:inline distT="0" distB="0" distL="0" distR="0">
            <wp:extent cx="6031230" cy="1214565"/>
            <wp:effectExtent l="0" t="0" r="0" b="508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1230" cy="1214565"/>
                    </a:xfrm>
                    <a:prstGeom prst="rect">
                      <a:avLst/>
                    </a:prstGeom>
                    <a:noFill/>
                    <a:ln>
                      <a:noFill/>
                    </a:ln>
                  </pic:spPr>
                </pic:pic>
              </a:graphicData>
            </a:graphic>
          </wp:inline>
        </w:drawing>
      </w:r>
    </w:p>
    <w:p w:rsidR="00DD4B8B" w:rsidRPr="00734675" w:rsidRDefault="00DD4B8B"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Los Egresos por Presentaciones de la Orquesta Sinfónica de Yucatán, se integra de la siguiente manera:</w:t>
      </w:r>
    </w:p>
    <w:p w:rsidR="0072004F" w:rsidRPr="00734675" w:rsidRDefault="0072004F" w:rsidP="00A47351">
      <w:pPr>
        <w:tabs>
          <w:tab w:val="left" w:pos="284"/>
        </w:tabs>
        <w:jc w:val="both"/>
        <w:rPr>
          <w:rFonts w:ascii="Calibri" w:hAnsi="Calibri"/>
          <w:sz w:val="20"/>
          <w:szCs w:val="20"/>
        </w:rPr>
      </w:pPr>
    </w:p>
    <w:p w:rsidR="0072004F" w:rsidRPr="00734675" w:rsidRDefault="0072004F" w:rsidP="0072004F">
      <w:pPr>
        <w:tabs>
          <w:tab w:val="left" w:pos="284"/>
        </w:tabs>
        <w:jc w:val="center"/>
        <w:rPr>
          <w:rFonts w:ascii="Calibri" w:hAnsi="Calibri"/>
          <w:sz w:val="20"/>
          <w:szCs w:val="20"/>
        </w:rPr>
      </w:pPr>
    </w:p>
    <w:p w:rsidR="0072004F" w:rsidRPr="00734675" w:rsidRDefault="00601199" w:rsidP="00601199">
      <w:pPr>
        <w:tabs>
          <w:tab w:val="left" w:pos="284"/>
        </w:tabs>
        <w:jc w:val="center"/>
        <w:rPr>
          <w:rFonts w:ascii="Calibri" w:hAnsi="Calibri"/>
          <w:sz w:val="20"/>
          <w:szCs w:val="20"/>
        </w:rPr>
      </w:pPr>
      <w:r w:rsidRPr="00734675">
        <w:rPr>
          <w:noProof/>
          <w:lang w:eastAsia="es-MX"/>
        </w:rPr>
        <w:drawing>
          <wp:inline distT="0" distB="0" distL="0" distR="0">
            <wp:extent cx="4410075" cy="121920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0075" cy="1219200"/>
                    </a:xfrm>
                    <a:prstGeom prst="rect">
                      <a:avLst/>
                    </a:prstGeom>
                    <a:noFill/>
                    <a:ln>
                      <a:noFill/>
                    </a:ln>
                  </pic:spPr>
                </pic:pic>
              </a:graphicData>
            </a:graphic>
          </wp:inline>
        </w:drawing>
      </w:r>
    </w:p>
    <w:p w:rsidR="00601199" w:rsidRPr="00734675" w:rsidRDefault="00601199" w:rsidP="00601199">
      <w:pPr>
        <w:tabs>
          <w:tab w:val="left" w:pos="284"/>
        </w:tabs>
        <w:jc w:val="center"/>
        <w:rPr>
          <w:rFonts w:ascii="Calibri" w:hAnsi="Calibri"/>
          <w:sz w:val="20"/>
          <w:szCs w:val="20"/>
        </w:rPr>
      </w:pPr>
    </w:p>
    <w:p w:rsidR="00A47351" w:rsidRPr="00734675" w:rsidRDefault="00A47351" w:rsidP="00A47351">
      <w:pPr>
        <w:pStyle w:val="Prrafodelista"/>
        <w:numPr>
          <w:ilvl w:val="0"/>
          <w:numId w:val="9"/>
        </w:numPr>
        <w:tabs>
          <w:tab w:val="left" w:pos="284"/>
          <w:tab w:val="left" w:pos="426"/>
        </w:tabs>
        <w:ind w:left="0" w:firstLine="0"/>
        <w:jc w:val="both"/>
        <w:rPr>
          <w:rFonts w:ascii="Calibri" w:hAnsi="Calibri"/>
          <w:b/>
          <w:sz w:val="20"/>
          <w:szCs w:val="20"/>
        </w:rPr>
      </w:pPr>
      <w:r w:rsidRPr="00734675">
        <w:rPr>
          <w:rFonts w:ascii="Calibri" w:hAnsi="Calibr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programados en las Temporadas XXXV</w:t>
      </w:r>
      <w:r w:rsidR="004C77E4" w:rsidRPr="00734675">
        <w:rPr>
          <w:rFonts w:ascii="Calibri" w:hAnsi="Calibri"/>
          <w:sz w:val="20"/>
          <w:szCs w:val="20"/>
        </w:rPr>
        <w:t>II</w:t>
      </w:r>
      <w:r w:rsidRPr="00734675">
        <w:rPr>
          <w:rFonts w:ascii="Calibri" w:hAnsi="Calibri"/>
          <w:sz w:val="20"/>
          <w:szCs w:val="20"/>
        </w:rPr>
        <w:t xml:space="preserve"> Enero-Junio</w:t>
      </w:r>
      <w:r w:rsidR="00DC3877" w:rsidRPr="00734675">
        <w:rPr>
          <w:rFonts w:ascii="Calibri" w:hAnsi="Calibri"/>
          <w:sz w:val="20"/>
          <w:szCs w:val="20"/>
        </w:rPr>
        <w:t xml:space="preserve"> y XXXVI</w:t>
      </w:r>
      <w:r w:rsidR="004C77E4" w:rsidRPr="00734675">
        <w:rPr>
          <w:rFonts w:ascii="Calibri" w:hAnsi="Calibri"/>
          <w:sz w:val="20"/>
          <w:szCs w:val="20"/>
        </w:rPr>
        <w:t>II</w:t>
      </w:r>
      <w:r w:rsidR="00DC3877" w:rsidRPr="00734675">
        <w:rPr>
          <w:rFonts w:ascii="Calibri" w:hAnsi="Calibri"/>
          <w:sz w:val="20"/>
          <w:szCs w:val="20"/>
        </w:rPr>
        <w:t xml:space="preserve"> Septiembre-Diciembre</w:t>
      </w:r>
      <w:r w:rsidRPr="00734675">
        <w:rPr>
          <w:rFonts w:ascii="Calibri" w:hAnsi="Calibri"/>
          <w:sz w:val="20"/>
          <w:szCs w:val="20"/>
        </w:rPr>
        <w:t xml:space="preserve"> del ejercicio 202</w:t>
      </w:r>
      <w:r w:rsidR="004C77E4" w:rsidRPr="00734675">
        <w:rPr>
          <w:rFonts w:ascii="Calibri" w:hAnsi="Calibri"/>
          <w:sz w:val="20"/>
          <w:szCs w:val="20"/>
        </w:rPr>
        <w:t>2</w:t>
      </w:r>
      <w:r w:rsidRPr="00734675">
        <w:rPr>
          <w:rFonts w:ascii="Calibri" w:hAnsi="Calibri"/>
          <w:sz w:val="20"/>
          <w:szCs w:val="20"/>
        </w:rPr>
        <w:t>.</w:t>
      </w:r>
    </w:p>
    <w:p w:rsidR="00A47351" w:rsidRPr="00734675" w:rsidRDefault="00A47351" w:rsidP="00A47351">
      <w:pPr>
        <w:pStyle w:val="Prrafodelista"/>
        <w:tabs>
          <w:tab w:val="left" w:pos="284"/>
          <w:tab w:val="left" w:pos="426"/>
        </w:tabs>
        <w:ind w:left="0"/>
        <w:jc w:val="both"/>
        <w:rPr>
          <w:rFonts w:ascii="Calibri" w:hAnsi="Calibri"/>
          <w:b/>
          <w:sz w:val="20"/>
          <w:szCs w:val="20"/>
        </w:rPr>
      </w:pPr>
    </w:p>
    <w:p w:rsidR="00A47351" w:rsidRPr="00734675" w:rsidRDefault="00A47351" w:rsidP="00A47351">
      <w:pPr>
        <w:pStyle w:val="Prrafodelista"/>
        <w:numPr>
          <w:ilvl w:val="0"/>
          <w:numId w:val="9"/>
        </w:numPr>
        <w:tabs>
          <w:tab w:val="left" w:pos="284"/>
          <w:tab w:val="left" w:pos="426"/>
        </w:tabs>
        <w:ind w:left="0" w:firstLine="0"/>
        <w:jc w:val="both"/>
        <w:rPr>
          <w:rFonts w:ascii="Calibri" w:hAnsi="Calibri"/>
          <w:sz w:val="20"/>
          <w:szCs w:val="20"/>
        </w:rPr>
      </w:pPr>
      <w:r w:rsidRPr="00734675">
        <w:rPr>
          <w:rFonts w:ascii="Calibri" w:hAnsi="Calibr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 generales de las Temporadas XXXV</w:t>
      </w:r>
      <w:r w:rsidR="00745733" w:rsidRPr="00734675">
        <w:rPr>
          <w:rFonts w:ascii="Calibri" w:hAnsi="Calibri"/>
          <w:sz w:val="20"/>
          <w:szCs w:val="20"/>
        </w:rPr>
        <w:t>II</w:t>
      </w:r>
      <w:r w:rsidRPr="00734675">
        <w:rPr>
          <w:rFonts w:ascii="Calibri" w:hAnsi="Calibri"/>
          <w:sz w:val="20"/>
          <w:szCs w:val="20"/>
        </w:rPr>
        <w:t xml:space="preserve"> Enero-Junio</w:t>
      </w:r>
      <w:r w:rsidR="00E968C3" w:rsidRPr="00734675">
        <w:rPr>
          <w:rFonts w:ascii="Calibri" w:hAnsi="Calibri"/>
          <w:sz w:val="20"/>
          <w:szCs w:val="20"/>
        </w:rPr>
        <w:t xml:space="preserve"> y XXXVI</w:t>
      </w:r>
      <w:r w:rsidR="00745733" w:rsidRPr="00734675">
        <w:rPr>
          <w:rFonts w:ascii="Calibri" w:hAnsi="Calibri"/>
          <w:sz w:val="20"/>
          <w:szCs w:val="20"/>
        </w:rPr>
        <w:t>II</w:t>
      </w:r>
      <w:r w:rsidR="00E968C3" w:rsidRPr="00734675">
        <w:rPr>
          <w:rFonts w:ascii="Calibri" w:hAnsi="Calibri"/>
          <w:sz w:val="20"/>
          <w:szCs w:val="20"/>
        </w:rPr>
        <w:t xml:space="preserve"> Septiembre-Diciembre</w:t>
      </w:r>
      <w:r w:rsidRPr="00734675">
        <w:rPr>
          <w:rFonts w:ascii="Calibri" w:hAnsi="Calibri"/>
          <w:sz w:val="20"/>
          <w:szCs w:val="20"/>
        </w:rPr>
        <w:t xml:space="preserve"> del ejercicio 202</w:t>
      </w:r>
      <w:r w:rsidR="00745733" w:rsidRPr="00734675">
        <w:rPr>
          <w:rFonts w:ascii="Calibri" w:hAnsi="Calibri"/>
          <w:sz w:val="20"/>
          <w:szCs w:val="20"/>
        </w:rPr>
        <w:t>2</w:t>
      </w:r>
      <w:r w:rsidRPr="00734675">
        <w:rPr>
          <w:rFonts w:ascii="Calibri" w:hAnsi="Calibri"/>
          <w:sz w:val="20"/>
          <w:szCs w:val="20"/>
        </w:rPr>
        <w:t xml:space="preserve">. Estas erogaciones se efectúan con el objeto de cumplir con lo establecido en el artículo 2 del decreto número 69 que autoriza </w:t>
      </w:r>
      <w:r w:rsidR="006B2008" w:rsidRPr="00734675">
        <w:rPr>
          <w:rFonts w:ascii="Calibri" w:hAnsi="Calibri"/>
          <w:sz w:val="20"/>
          <w:szCs w:val="20"/>
        </w:rPr>
        <w:t xml:space="preserve">la </w:t>
      </w:r>
      <w:r w:rsidRPr="00734675">
        <w:rPr>
          <w:rFonts w:ascii="Calibri" w:hAnsi="Calibri"/>
          <w:sz w:val="20"/>
          <w:szCs w:val="20"/>
        </w:rPr>
        <w:t>creación del FIGAROSY, el cual menciona que tendrá como fin la administración e inversión de los recursos para la difusión, preservación, impulso y permanencia de la Orquesta Sinfónica de Yucatán.</w:t>
      </w:r>
    </w:p>
    <w:p w:rsidR="00A47351" w:rsidRPr="00734675" w:rsidRDefault="00A47351" w:rsidP="00A47351">
      <w:pPr>
        <w:tabs>
          <w:tab w:val="left" w:pos="426"/>
        </w:tabs>
        <w:rPr>
          <w:rFonts w:ascii="Calibri" w:hAnsi="Calibri"/>
          <w:b/>
          <w:sz w:val="20"/>
          <w:szCs w:val="20"/>
        </w:rPr>
      </w:pPr>
    </w:p>
    <w:p w:rsidR="00A47351" w:rsidRPr="00734675" w:rsidRDefault="00A47351" w:rsidP="00A47351">
      <w:pPr>
        <w:tabs>
          <w:tab w:val="left" w:pos="426"/>
        </w:tabs>
        <w:rPr>
          <w:rFonts w:ascii="Calibri" w:hAnsi="Calibri"/>
          <w:b/>
          <w:sz w:val="20"/>
          <w:szCs w:val="20"/>
        </w:rPr>
      </w:pPr>
    </w:p>
    <w:p w:rsidR="00A47351" w:rsidRPr="00734675" w:rsidRDefault="00A47351" w:rsidP="00A47351">
      <w:pPr>
        <w:tabs>
          <w:tab w:val="left" w:pos="426"/>
        </w:tabs>
        <w:rPr>
          <w:rFonts w:ascii="Calibri" w:hAnsi="Calibri"/>
          <w:b/>
          <w:sz w:val="20"/>
          <w:szCs w:val="20"/>
        </w:rPr>
      </w:pPr>
      <w:r w:rsidRPr="00734675">
        <w:rPr>
          <w:rFonts w:ascii="Calibri" w:hAnsi="Calibri"/>
          <w:b/>
          <w:sz w:val="20"/>
          <w:szCs w:val="20"/>
        </w:rPr>
        <w:t>2.4.2 Otros Gastos y Pérdidas Extraordinarias.</w:t>
      </w:r>
    </w:p>
    <w:p w:rsidR="00A47351" w:rsidRPr="00734675" w:rsidRDefault="00A47351" w:rsidP="00A47351">
      <w:pPr>
        <w:tabs>
          <w:tab w:val="left" w:pos="426"/>
        </w:tabs>
        <w:rPr>
          <w:rFonts w:ascii="Calibri" w:hAnsi="Calibri"/>
          <w:b/>
          <w:sz w:val="20"/>
          <w:szCs w:val="20"/>
        </w:rPr>
      </w:pPr>
    </w:p>
    <w:p w:rsidR="00A47351" w:rsidRPr="00734675" w:rsidRDefault="00A47351" w:rsidP="00A47351">
      <w:pPr>
        <w:tabs>
          <w:tab w:val="left" w:pos="426"/>
        </w:tabs>
        <w:rPr>
          <w:rFonts w:ascii="Calibri" w:hAnsi="Calibri"/>
          <w:sz w:val="20"/>
          <w:szCs w:val="20"/>
        </w:rPr>
      </w:pPr>
      <w:r w:rsidRPr="00734675">
        <w:rPr>
          <w:rFonts w:ascii="Calibri" w:hAnsi="Calibri"/>
          <w:sz w:val="20"/>
          <w:szCs w:val="20"/>
        </w:rPr>
        <w:t>La cuenta de estimaciones, depreciaciones, deterioros, obsolescencia y amortizaciones, se integra de la siguiente manera:</w:t>
      </w:r>
    </w:p>
    <w:p w:rsidR="0072004F" w:rsidRPr="00734675" w:rsidRDefault="0072004F" w:rsidP="00A47351">
      <w:pPr>
        <w:tabs>
          <w:tab w:val="left" w:pos="426"/>
        </w:tabs>
        <w:rPr>
          <w:rFonts w:ascii="Calibri" w:hAnsi="Calibri"/>
          <w:sz w:val="20"/>
          <w:szCs w:val="20"/>
        </w:rPr>
      </w:pPr>
    </w:p>
    <w:p w:rsidR="0072004F" w:rsidRPr="00734675" w:rsidRDefault="0072004F" w:rsidP="0072004F">
      <w:pPr>
        <w:tabs>
          <w:tab w:val="left" w:pos="426"/>
        </w:tabs>
        <w:jc w:val="center"/>
        <w:rPr>
          <w:rFonts w:ascii="Calibri" w:hAnsi="Calibri"/>
          <w:b/>
          <w:sz w:val="20"/>
          <w:szCs w:val="20"/>
        </w:rPr>
      </w:pPr>
    </w:p>
    <w:p w:rsidR="00A47351" w:rsidRPr="00734675" w:rsidRDefault="00A47351" w:rsidP="00A47351">
      <w:pPr>
        <w:pStyle w:val="Prrafodelista"/>
        <w:tabs>
          <w:tab w:val="left" w:pos="426"/>
        </w:tabs>
        <w:ind w:left="0"/>
        <w:rPr>
          <w:rFonts w:ascii="Calibri" w:hAnsi="Calibri"/>
          <w:sz w:val="20"/>
          <w:szCs w:val="20"/>
        </w:rPr>
      </w:pPr>
    </w:p>
    <w:p w:rsidR="00AA3E7D" w:rsidRPr="00734675" w:rsidRDefault="00AA3E7D" w:rsidP="002B7276">
      <w:pPr>
        <w:pStyle w:val="Prrafodelista"/>
        <w:tabs>
          <w:tab w:val="left" w:pos="426"/>
        </w:tabs>
        <w:ind w:left="0"/>
        <w:jc w:val="center"/>
        <w:rPr>
          <w:rFonts w:ascii="Calibri" w:hAnsi="Calibri"/>
          <w:sz w:val="20"/>
          <w:szCs w:val="20"/>
        </w:rPr>
      </w:pPr>
    </w:p>
    <w:p w:rsidR="00A47351" w:rsidRPr="00734675" w:rsidRDefault="0088659F" w:rsidP="0088659F">
      <w:pPr>
        <w:pStyle w:val="Prrafodelista"/>
        <w:tabs>
          <w:tab w:val="left" w:pos="426"/>
        </w:tabs>
        <w:ind w:left="0"/>
        <w:jc w:val="center"/>
        <w:rPr>
          <w:rFonts w:ascii="Calibri" w:hAnsi="Calibri" w:cs="Arial"/>
          <w:bCs/>
          <w:sz w:val="20"/>
          <w:szCs w:val="20"/>
        </w:rPr>
      </w:pPr>
      <w:r w:rsidRPr="00734675">
        <w:rPr>
          <w:noProof/>
          <w:lang w:eastAsia="es-MX"/>
        </w:rPr>
        <w:drawing>
          <wp:inline distT="0" distB="0" distL="0" distR="0">
            <wp:extent cx="4410075" cy="59055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0075" cy="590550"/>
                    </a:xfrm>
                    <a:prstGeom prst="rect">
                      <a:avLst/>
                    </a:prstGeom>
                    <a:noFill/>
                    <a:ln>
                      <a:noFill/>
                    </a:ln>
                  </pic:spPr>
                </pic:pic>
              </a:graphicData>
            </a:graphic>
          </wp:inline>
        </w:drawing>
      </w:r>
    </w:p>
    <w:p w:rsidR="0088659F" w:rsidRPr="00734675" w:rsidRDefault="0088659F" w:rsidP="0088659F">
      <w:pPr>
        <w:pStyle w:val="Prrafodelista"/>
        <w:tabs>
          <w:tab w:val="left" w:pos="426"/>
        </w:tabs>
        <w:ind w:left="0"/>
        <w:jc w:val="center"/>
        <w:rPr>
          <w:rFonts w:ascii="Calibri" w:hAnsi="Calibri" w:cs="Arial"/>
          <w:bCs/>
          <w:sz w:val="20"/>
          <w:szCs w:val="20"/>
        </w:rPr>
      </w:pPr>
    </w:p>
    <w:p w:rsidR="00A47351" w:rsidRPr="00734675" w:rsidRDefault="00A47351" w:rsidP="00A47351">
      <w:pPr>
        <w:pStyle w:val="Prrafodelista"/>
        <w:numPr>
          <w:ilvl w:val="0"/>
          <w:numId w:val="10"/>
        </w:numPr>
        <w:tabs>
          <w:tab w:val="left" w:pos="284"/>
        </w:tabs>
        <w:ind w:left="0" w:firstLine="0"/>
        <w:jc w:val="both"/>
        <w:rPr>
          <w:rFonts w:ascii="Calibri" w:hAnsi="Calibri"/>
          <w:sz w:val="20"/>
          <w:szCs w:val="20"/>
        </w:rPr>
      </w:pPr>
      <w:r w:rsidRPr="00734675">
        <w:rPr>
          <w:rFonts w:ascii="Calibri" w:hAnsi="Calibri"/>
          <w:sz w:val="20"/>
          <w:szCs w:val="20"/>
        </w:rPr>
        <w:t xml:space="preserve">La cuenta depreciación de bienes muebles, corresponde al deterioro por el uso del mobiliario y equipo,  bienes artísticos y culturales, bienes informáticos, y maquinaria, otros equipos y herramientas por el período del </w:t>
      </w:r>
      <w:r w:rsidR="00C137D2" w:rsidRPr="00734675">
        <w:rPr>
          <w:rFonts w:ascii="Calibri" w:hAnsi="Calibri"/>
          <w:sz w:val="20"/>
          <w:szCs w:val="20"/>
        </w:rPr>
        <w:t xml:space="preserve">1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w:t>
      </w:r>
    </w:p>
    <w:p w:rsidR="00A47351" w:rsidRPr="00734675" w:rsidRDefault="00A47351" w:rsidP="00A47351">
      <w:pPr>
        <w:pStyle w:val="Prrafodelista"/>
        <w:tabs>
          <w:tab w:val="left" w:pos="3804"/>
        </w:tabs>
        <w:ind w:left="0"/>
        <w:jc w:val="both"/>
        <w:rPr>
          <w:rFonts w:ascii="Calibri" w:hAnsi="Calibri"/>
          <w:sz w:val="20"/>
          <w:szCs w:val="20"/>
        </w:rPr>
      </w:pPr>
      <w:r w:rsidRPr="00734675">
        <w:rPr>
          <w:rFonts w:ascii="Calibri" w:hAnsi="Calibri"/>
          <w:sz w:val="20"/>
          <w:szCs w:val="20"/>
        </w:rPr>
        <w:tab/>
      </w:r>
    </w:p>
    <w:p w:rsidR="00A47351" w:rsidRPr="00734675" w:rsidRDefault="00A47351" w:rsidP="00A47351">
      <w:pPr>
        <w:pStyle w:val="Prrafodelista"/>
        <w:numPr>
          <w:ilvl w:val="0"/>
          <w:numId w:val="26"/>
        </w:numPr>
        <w:tabs>
          <w:tab w:val="left" w:pos="426"/>
        </w:tabs>
        <w:rPr>
          <w:rFonts w:ascii="Calibri" w:hAnsi="Calibri"/>
          <w:b/>
          <w:sz w:val="20"/>
          <w:szCs w:val="20"/>
        </w:rPr>
      </w:pPr>
      <w:r w:rsidRPr="00734675">
        <w:rPr>
          <w:rFonts w:ascii="Calibri" w:hAnsi="Calibri"/>
          <w:b/>
          <w:sz w:val="20"/>
          <w:szCs w:val="20"/>
        </w:rPr>
        <w:t>NOTAS AL ESTADO DE VARIACIÓN EN LA HACIENDA PÚBLICA / PATRIMONIO.</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tabs>
          <w:tab w:val="left" w:pos="284"/>
        </w:tabs>
        <w:ind w:left="0"/>
        <w:jc w:val="both"/>
        <w:rPr>
          <w:rFonts w:ascii="Calibri" w:hAnsi="Calibri"/>
          <w:sz w:val="20"/>
          <w:szCs w:val="20"/>
        </w:rPr>
      </w:pPr>
      <w:r w:rsidRPr="00734675">
        <w:rPr>
          <w:rFonts w:ascii="Calibri" w:hAnsi="Calibri"/>
          <w:b/>
          <w:sz w:val="20"/>
          <w:szCs w:val="20"/>
        </w:rPr>
        <w:t>3.1</w:t>
      </w:r>
      <w:r w:rsidRPr="00734675">
        <w:rPr>
          <w:rFonts w:ascii="Calibri" w:hAnsi="Calibri"/>
          <w:sz w:val="20"/>
          <w:szCs w:val="20"/>
        </w:rPr>
        <w:t xml:space="preserve"> En el rubro de Hacienda pública / Patrimonio G</w:t>
      </w:r>
      <w:r w:rsidR="00C137D2" w:rsidRPr="00734675">
        <w:rPr>
          <w:rFonts w:ascii="Calibri" w:hAnsi="Calibri"/>
          <w:sz w:val="20"/>
          <w:szCs w:val="20"/>
        </w:rPr>
        <w:t xml:space="preserve">enerado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el Fideicomiso Garante de la Orquesta Sinfónica de Yucatán ha generado ahorros y/o desahorros en los ejercicios 2009, 2010, 2011, 2012, 2013, 2014, 2015, 2016, 2017, 2018, 2019 y 2020, y a su vez se han efectuado rectificaciones posteriores, quedando como sigue:</w:t>
      </w:r>
    </w:p>
    <w:p w:rsidR="0072004F" w:rsidRPr="00734675" w:rsidRDefault="0072004F" w:rsidP="00A47351">
      <w:pPr>
        <w:pStyle w:val="Prrafodelista"/>
        <w:tabs>
          <w:tab w:val="left" w:pos="284"/>
        </w:tabs>
        <w:ind w:left="0"/>
        <w:jc w:val="both"/>
        <w:rPr>
          <w:rFonts w:ascii="Calibri" w:hAnsi="Calibri"/>
          <w:sz w:val="20"/>
          <w:szCs w:val="20"/>
        </w:rPr>
      </w:pPr>
    </w:p>
    <w:p w:rsidR="0072004F" w:rsidRPr="00734675" w:rsidRDefault="009D57F4" w:rsidP="0088659F">
      <w:pPr>
        <w:pStyle w:val="Prrafodelista"/>
        <w:tabs>
          <w:tab w:val="left" w:pos="284"/>
        </w:tabs>
        <w:ind w:left="0"/>
        <w:jc w:val="center"/>
        <w:rPr>
          <w:rFonts w:ascii="Calibri" w:hAnsi="Calibri"/>
          <w:sz w:val="20"/>
          <w:szCs w:val="20"/>
        </w:rPr>
      </w:pPr>
      <w:r w:rsidRPr="00734675">
        <w:rPr>
          <w:noProof/>
          <w:lang w:eastAsia="es-MX"/>
        </w:rPr>
        <w:drawing>
          <wp:inline distT="0" distB="0" distL="0" distR="0">
            <wp:extent cx="6031230" cy="179948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1230" cy="1799485"/>
                    </a:xfrm>
                    <a:prstGeom prst="rect">
                      <a:avLst/>
                    </a:prstGeom>
                    <a:noFill/>
                    <a:ln>
                      <a:noFill/>
                    </a:ln>
                  </pic:spPr>
                </pic:pic>
              </a:graphicData>
            </a:graphic>
          </wp:inline>
        </w:drawing>
      </w:r>
    </w:p>
    <w:p w:rsidR="0072004F" w:rsidRPr="00734675" w:rsidRDefault="0072004F" w:rsidP="00745733">
      <w:pPr>
        <w:pStyle w:val="Prrafodelista"/>
        <w:tabs>
          <w:tab w:val="left" w:pos="284"/>
        </w:tabs>
        <w:ind w:left="0"/>
        <w:jc w:val="center"/>
        <w:rPr>
          <w:rFonts w:ascii="Calibri" w:hAnsi="Calibri"/>
          <w:sz w:val="20"/>
          <w:szCs w:val="20"/>
        </w:rPr>
      </w:pPr>
    </w:p>
    <w:p w:rsidR="00B54F3D" w:rsidRPr="00734675" w:rsidRDefault="00B54F3D" w:rsidP="00A47351">
      <w:pPr>
        <w:pStyle w:val="Prrafodelista"/>
        <w:tabs>
          <w:tab w:val="left" w:pos="426"/>
        </w:tabs>
        <w:ind w:left="0"/>
        <w:rPr>
          <w:rFonts w:ascii="Calibri" w:hAnsi="Calibri" w:cs="Arial"/>
          <w:bCs/>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b/>
          <w:sz w:val="20"/>
          <w:szCs w:val="20"/>
        </w:rPr>
        <w:t>3.1.1</w:t>
      </w:r>
      <w:r w:rsidRPr="00734675">
        <w:rPr>
          <w:rFonts w:ascii="Calibri" w:hAnsi="Calibri"/>
          <w:sz w:val="20"/>
          <w:szCs w:val="20"/>
        </w:rPr>
        <w:t xml:space="preserve"> El rubro de Variaciones de la Hacienda Pública / Patrimonio neto está conformado por los resultados de ejercicios anteriores, que se integra de la siguiente manera:</w:t>
      </w:r>
    </w:p>
    <w:p w:rsidR="00745733" w:rsidRPr="00734675" w:rsidRDefault="00745733" w:rsidP="00A47351">
      <w:pPr>
        <w:pStyle w:val="Prrafodelista"/>
        <w:tabs>
          <w:tab w:val="left" w:pos="426"/>
        </w:tabs>
        <w:ind w:left="0"/>
        <w:jc w:val="both"/>
        <w:rPr>
          <w:rFonts w:ascii="Calibri" w:hAnsi="Calibri"/>
          <w:b/>
          <w:sz w:val="20"/>
          <w:szCs w:val="20"/>
        </w:rPr>
      </w:pPr>
    </w:p>
    <w:p w:rsidR="00A47351" w:rsidRPr="00734675" w:rsidRDefault="00745733" w:rsidP="00745733">
      <w:pPr>
        <w:pStyle w:val="Prrafodelista"/>
        <w:tabs>
          <w:tab w:val="left" w:pos="284"/>
        </w:tabs>
        <w:ind w:left="0"/>
        <w:jc w:val="center"/>
        <w:rPr>
          <w:rFonts w:ascii="Calibri" w:hAnsi="Calibri"/>
          <w:sz w:val="20"/>
          <w:szCs w:val="20"/>
        </w:rPr>
      </w:pPr>
      <w:r w:rsidRPr="00734675">
        <w:rPr>
          <w:noProof/>
          <w:lang w:eastAsia="es-MX"/>
        </w:rPr>
        <w:drawing>
          <wp:inline distT="0" distB="0" distL="0" distR="0">
            <wp:extent cx="2794635" cy="2816225"/>
            <wp:effectExtent l="0" t="0" r="571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635" cy="2816225"/>
                    </a:xfrm>
                    <a:prstGeom prst="rect">
                      <a:avLst/>
                    </a:prstGeom>
                    <a:noFill/>
                    <a:ln>
                      <a:noFill/>
                    </a:ln>
                  </pic:spPr>
                </pic:pic>
              </a:graphicData>
            </a:graphic>
          </wp:inline>
        </w:drawing>
      </w:r>
    </w:p>
    <w:p w:rsidR="00E24EA9" w:rsidRPr="00734675" w:rsidRDefault="00E24EA9" w:rsidP="00B54F3D">
      <w:pPr>
        <w:tabs>
          <w:tab w:val="left" w:pos="1134"/>
        </w:tabs>
        <w:jc w:val="center"/>
        <w:rPr>
          <w:rFonts w:ascii="Calibri" w:hAnsi="Calibri" w:cs="Arial"/>
          <w:bCs/>
          <w:sz w:val="20"/>
          <w:szCs w:val="20"/>
        </w:rPr>
      </w:pPr>
    </w:p>
    <w:p w:rsidR="003B60EF" w:rsidRPr="00734675" w:rsidRDefault="003B60EF" w:rsidP="00A47351">
      <w:pPr>
        <w:tabs>
          <w:tab w:val="left" w:pos="1134"/>
        </w:tabs>
        <w:rPr>
          <w:rFonts w:ascii="Calibri" w:hAnsi="Calibri" w:cs="Arial"/>
          <w:bCs/>
          <w:sz w:val="20"/>
          <w:szCs w:val="20"/>
        </w:rPr>
      </w:pPr>
    </w:p>
    <w:p w:rsidR="00A47351" w:rsidRPr="00734675" w:rsidRDefault="00A47351" w:rsidP="00A47351">
      <w:pPr>
        <w:pStyle w:val="Prrafodelista"/>
        <w:tabs>
          <w:tab w:val="left" w:pos="0"/>
          <w:tab w:val="left" w:pos="284"/>
        </w:tabs>
        <w:ind w:left="0"/>
        <w:jc w:val="both"/>
        <w:rPr>
          <w:rFonts w:ascii="Calibri" w:hAnsi="Calibri"/>
          <w:sz w:val="20"/>
          <w:szCs w:val="20"/>
        </w:rPr>
      </w:pPr>
      <w:r w:rsidRPr="00734675">
        <w:rPr>
          <w:rFonts w:ascii="Calibri" w:hAnsi="Calibri"/>
          <w:b/>
          <w:sz w:val="20"/>
          <w:szCs w:val="20"/>
        </w:rPr>
        <w:t>3.1.2</w:t>
      </w:r>
      <w:r w:rsidRPr="00734675">
        <w:rPr>
          <w:rFonts w:ascii="Calibri" w:hAnsi="Calibri"/>
          <w:sz w:val="20"/>
          <w:szCs w:val="20"/>
        </w:rPr>
        <w:t xml:space="preserve"> La cuenta de rectificaciones de resultados a ejercicios anteriores se clasifica de la siguiente manera:</w:t>
      </w:r>
    </w:p>
    <w:p w:rsidR="002F7598" w:rsidRPr="00734675" w:rsidRDefault="002F7598" w:rsidP="00A47351">
      <w:pPr>
        <w:pStyle w:val="Prrafodelista"/>
        <w:tabs>
          <w:tab w:val="left" w:pos="0"/>
          <w:tab w:val="left" w:pos="284"/>
        </w:tabs>
        <w:ind w:left="0"/>
        <w:jc w:val="both"/>
        <w:rPr>
          <w:rFonts w:ascii="Calibri" w:hAnsi="Calibri"/>
          <w:sz w:val="20"/>
          <w:szCs w:val="20"/>
        </w:rPr>
      </w:pPr>
    </w:p>
    <w:p w:rsidR="00B54F3D" w:rsidRPr="00734675" w:rsidRDefault="009D57F4" w:rsidP="00623B28">
      <w:pPr>
        <w:pStyle w:val="Prrafodelista"/>
        <w:tabs>
          <w:tab w:val="left" w:pos="0"/>
          <w:tab w:val="left" w:pos="284"/>
        </w:tabs>
        <w:ind w:left="0"/>
        <w:jc w:val="center"/>
        <w:rPr>
          <w:rFonts w:ascii="Calibri" w:hAnsi="Calibri"/>
          <w:sz w:val="20"/>
          <w:szCs w:val="20"/>
        </w:rPr>
      </w:pPr>
      <w:r w:rsidRPr="00734675">
        <w:rPr>
          <w:noProof/>
          <w:lang w:eastAsia="es-MX"/>
        </w:rPr>
        <w:drawing>
          <wp:inline distT="0" distB="0" distL="0" distR="0">
            <wp:extent cx="3554095" cy="588645"/>
            <wp:effectExtent l="0" t="0" r="825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4095" cy="588645"/>
                    </a:xfrm>
                    <a:prstGeom prst="rect">
                      <a:avLst/>
                    </a:prstGeom>
                    <a:noFill/>
                    <a:ln>
                      <a:noFill/>
                    </a:ln>
                  </pic:spPr>
                </pic:pic>
              </a:graphicData>
            </a:graphic>
          </wp:inline>
        </w:drawing>
      </w:r>
    </w:p>
    <w:p w:rsidR="00A47351" w:rsidRPr="00734675" w:rsidRDefault="00A47351" w:rsidP="00A47351">
      <w:pPr>
        <w:pStyle w:val="Prrafodelista"/>
        <w:tabs>
          <w:tab w:val="left" w:pos="0"/>
          <w:tab w:val="left" w:pos="284"/>
        </w:tabs>
        <w:ind w:left="0"/>
        <w:jc w:val="both"/>
        <w:rPr>
          <w:rFonts w:ascii="Calibri" w:hAnsi="Calibri"/>
          <w:sz w:val="20"/>
          <w:szCs w:val="20"/>
        </w:rPr>
      </w:pPr>
    </w:p>
    <w:p w:rsidR="00A47351" w:rsidRPr="00734675" w:rsidRDefault="00A47351" w:rsidP="00A47351">
      <w:pPr>
        <w:pStyle w:val="Prrafodelista"/>
        <w:tabs>
          <w:tab w:val="left" w:pos="0"/>
          <w:tab w:val="left" w:pos="284"/>
        </w:tabs>
        <w:ind w:left="0"/>
        <w:jc w:val="both"/>
        <w:rPr>
          <w:rFonts w:ascii="Calibri" w:hAnsi="Calibri"/>
          <w:sz w:val="20"/>
          <w:szCs w:val="20"/>
        </w:rPr>
      </w:pPr>
      <w:r w:rsidRPr="00734675">
        <w:rPr>
          <w:rFonts w:ascii="Calibri" w:hAnsi="Calibri"/>
          <w:b/>
          <w:sz w:val="20"/>
          <w:szCs w:val="20"/>
        </w:rPr>
        <w:t>3.1.3.1</w:t>
      </w:r>
      <w:r w:rsidRPr="00734675">
        <w:rPr>
          <w:rFonts w:ascii="Calibri" w:hAnsi="Calibr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fiscales</w:t>
      </w:r>
      <w:r w:rsidR="00593E30" w:rsidRPr="00734675">
        <w:rPr>
          <w:rFonts w:ascii="Calibri" w:hAnsi="Calibri"/>
          <w:sz w:val="20"/>
          <w:szCs w:val="20"/>
        </w:rPr>
        <w:t xml:space="preserve"> 2009, 2010, 2011, 2012, 2013, </w:t>
      </w:r>
      <w:r w:rsidRPr="00734675">
        <w:rPr>
          <w:rFonts w:ascii="Calibri" w:hAnsi="Calibri"/>
          <w:sz w:val="20"/>
          <w:szCs w:val="20"/>
        </w:rPr>
        <w:t>2014</w:t>
      </w:r>
      <w:r w:rsidR="00745733" w:rsidRPr="00734675">
        <w:rPr>
          <w:rFonts w:ascii="Calibri" w:hAnsi="Calibri"/>
          <w:sz w:val="20"/>
          <w:szCs w:val="20"/>
        </w:rPr>
        <w:t>, 2018, 2019,</w:t>
      </w:r>
      <w:r w:rsidR="00593E30" w:rsidRPr="00734675">
        <w:rPr>
          <w:rFonts w:ascii="Calibri" w:hAnsi="Calibri"/>
          <w:sz w:val="20"/>
          <w:szCs w:val="20"/>
        </w:rPr>
        <w:t xml:space="preserve"> 2020</w:t>
      </w:r>
      <w:r w:rsidR="00745733" w:rsidRPr="00734675">
        <w:rPr>
          <w:rFonts w:ascii="Calibri" w:hAnsi="Calibri"/>
          <w:sz w:val="20"/>
          <w:szCs w:val="20"/>
        </w:rPr>
        <w:t xml:space="preserve"> y 2021</w:t>
      </w:r>
      <w:r w:rsidRPr="00734675">
        <w:rPr>
          <w:rFonts w:ascii="Calibri" w:hAnsi="Calibri"/>
          <w:sz w:val="20"/>
          <w:szCs w:val="20"/>
        </w:rPr>
        <w:t xml:space="preserve">.  </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tabs>
          <w:tab w:val="left" w:pos="426"/>
        </w:tabs>
        <w:jc w:val="both"/>
        <w:rPr>
          <w:rFonts w:ascii="Calibri" w:hAnsi="Calibri"/>
          <w:sz w:val="20"/>
          <w:szCs w:val="20"/>
        </w:rPr>
      </w:pPr>
      <w:r w:rsidRPr="00734675">
        <w:rPr>
          <w:rFonts w:ascii="Calibri" w:hAnsi="Calibr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 xml:space="preserve">En el mes de Diciembre de 2014, se registró reclasificaciones afectando la cuenta de rectificaciones a resultados a ejercicios anteriores, debido que existía la política de registrar las adquisiciones de bienes 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 xml:space="preserve">Así mismo, se reclasificó los importes que acumulaba la cuenta de Donaciones de Capital, que forma parte del patrimonio contribuido, las aportaciones en especie otorgadas por el Patronato para la Orquesta Sinfónica de Yucatán por la cantidad de $ 1,600,693.00, que consta de sesenta y cuatro sillas con características específicas para los músicos de la Orquesta Sinfónica de Yucatán, ocho carritos para trasladar y resguardas las silla y un pódium para el Director Artístico; dicha donación se registró en libros contables en el mes de Diciembre de 2011 y asciende a la cantidad de $ 361,262.00. En el mes de Marzo de 2014, se donaron dieciséis paneles que conforman la concha acústica por la cantidad de $ 843,418.00. En el ejercicio 2016, se donaron un </w:t>
      </w:r>
      <w:r w:rsidRPr="00734675">
        <w:rPr>
          <w:rFonts w:ascii="Calibri" w:hAnsi="Calibri"/>
          <w:bCs/>
          <w:sz w:val="20"/>
          <w:szCs w:val="20"/>
        </w:rPr>
        <w:t xml:space="preserve"> violín y un kiosco digital interactivo para venta de localidades de la Orquesta Sinfónica de Yucatán, por la cantidad de</w:t>
      </w:r>
      <w:r w:rsidRPr="00734675">
        <w:rPr>
          <w:rFonts w:ascii="Calibri" w:hAnsi="Calibri"/>
          <w:sz w:val="20"/>
          <w:szCs w:val="20"/>
        </w:rPr>
        <w:t xml:space="preserve"> $ 396,012.00. Estos importes se reclasificaron en la cuenta de rectificaciones de resultados de ejercicios anteriores. Este cambio de política de registro contable se debe a que el Consejo Nacional de Armonización Contable ha informado a través del Plan de Cuentas, la cual define cada una de las cuentas contables que conforman la Hacienda Pública. Se integra de la siguiente manera:</w:t>
      </w:r>
    </w:p>
    <w:p w:rsidR="00745733" w:rsidRPr="00734675" w:rsidRDefault="00745733" w:rsidP="00A47351">
      <w:pPr>
        <w:tabs>
          <w:tab w:val="left" w:pos="284"/>
        </w:tabs>
        <w:jc w:val="both"/>
        <w:rPr>
          <w:rFonts w:ascii="Calibri" w:hAnsi="Calibri"/>
          <w:sz w:val="20"/>
          <w:szCs w:val="20"/>
        </w:rPr>
      </w:pPr>
    </w:p>
    <w:p w:rsidR="00623B28" w:rsidRPr="00734675" w:rsidRDefault="00745733" w:rsidP="00745733">
      <w:pPr>
        <w:tabs>
          <w:tab w:val="left" w:pos="284"/>
        </w:tabs>
        <w:jc w:val="center"/>
        <w:rPr>
          <w:rFonts w:ascii="Calibri" w:hAnsi="Calibri"/>
          <w:sz w:val="20"/>
          <w:szCs w:val="20"/>
        </w:rPr>
      </w:pPr>
      <w:r w:rsidRPr="00734675">
        <w:rPr>
          <w:noProof/>
          <w:lang w:eastAsia="es-MX"/>
        </w:rPr>
        <w:drawing>
          <wp:inline distT="0" distB="0" distL="0" distR="0">
            <wp:extent cx="4411345" cy="1880235"/>
            <wp:effectExtent l="0" t="0" r="825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1345" cy="1880235"/>
                    </a:xfrm>
                    <a:prstGeom prst="rect">
                      <a:avLst/>
                    </a:prstGeom>
                    <a:noFill/>
                    <a:ln>
                      <a:noFill/>
                    </a:ln>
                  </pic:spPr>
                </pic:pic>
              </a:graphicData>
            </a:graphic>
          </wp:inline>
        </w:drawing>
      </w:r>
    </w:p>
    <w:p w:rsidR="00623B28" w:rsidRPr="00734675" w:rsidRDefault="00623B28" w:rsidP="00AB3F36">
      <w:pPr>
        <w:tabs>
          <w:tab w:val="left" w:pos="284"/>
        </w:tabs>
        <w:jc w:val="center"/>
        <w:rPr>
          <w:rFonts w:ascii="Calibri" w:hAnsi="Calibri"/>
          <w:sz w:val="20"/>
          <w:szCs w:val="20"/>
        </w:rPr>
      </w:pPr>
    </w:p>
    <w:p w:rsidR="00623B28" w:rsidRPr="00734675" w:rsidRDefault="00623B28" w:rsidP="00A47351">
      <w:pPr>
        <w:tabs>
          <w:tab w:val="left" w:pos="284"/>
        </w:tabs>
        <w:jc w:val="both"/>
        <w:rPr>
          <w:rFonts w:ascii="Calibri" w:hAnsi="Calibri"/>
          <w:sz w:val="20"/>
          <w:szCs w:val="20"/>
        </w:rPr>
      </w:pPr>
    </w:p>
    <w:p w:rsidR="00A47351" w:rsidRPr="00734675" w:rsidRDefault="00A47351" w:rsidP="00A47351">
      <w:pPr>
        <w:pStyle w:val="Prrafodelista"/>
        <w:tabs>
          <w:tab w:val="left" w:pos="284"/>
        </w:tabs>
        <w:ind w:left="0"/>
        <w:jc w:val="both"/>
        <w:rPr>
          <w:rFonts w:ascii="Calibri" w:hAnsi="Calibri"/>
          <w:sz w:val="20"/>
          <w:szCs w:val="20"/>
        </w:rPr>
      </w:pPr>
      <w:r w:rsidRPr="00734675">
        <w:rPr>
          <w:rFonts w:ascii="Calibri" w:hAnsi="Calibri"/>
          <w:b/>
          <w:sz w:val="20"/>
          <w:szCs w:val="20"/>
        </w:rPr>
        <w:t>3.1.3.2</w:t>
      </w:r>
      <w:r w:rsidRPr="00734675">
        <w:rPr>
          <w:rFonts w:ascii="Calibri" w:hAnsi="Calibri"/>
          <w:sz w:val="20"/>
          <w:szCs w:val="20"/>
        </w:rPr>
        <w:t xml:space="preserve"> La cuenta de rectificaciones de resultados de ejercicios anteriores por cambios por errores contables, que forma parte del patrimonio generado, acumula las comprobaciones de proveedores y diferencias en la determinación </w:t>
      </w:r>
      <w:r w:rsidRPr="00734675">
        <w:rPr>
          <w:rFonts w:ascii="Calibri" w:hAnsi="Calibri"/>
          <w:sz w:val="20"/>
          <w:szCs w:val="20"/>
        </w:rPr>
        <w:lastRenderedPageBreak/>
        <w:t xml:space="preserve">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734675">
        <w:rPr>
          <w:rFonts w:ascii="Calibri" w:hAnsi="Calibri" w:cs="Arial"/>
          <w:bCs/>
          <w:sz w:val="20"/>
          <w:szCs w:val="20"/>
        </w:rPr>
        <w:t xml:space="preserve">posteriores al cierre de los ejercicios fiscales </w:t>
      </w:r>
      <w:r w:rsidRPr="00734675">
        <w:rPr>
          <w:rFonts w:ascii="Calibri" w:hAnsi="Calibri"/>
          <w:sz w:val="20"/>
          <w:szCs w:val="20"/>
        </w:rPr>
        <w:t>2009, 2010, 2011, 2013, 2014, 2015, 2016, 2017 y 2018, y que se integran de la siguiente manera:</w:t>
      </w:r>
    </w:p>
    <w:p w:rsidR="0072004F" w:rsidRPr="00734675" w:rsidRDefault="0072004F" w:rsidP="00A47351">
      <w:pPr>
        <w:pStyle w:val="Prrafodelista"/>
        <w:tabs>
          <w:tab w:val="left" w:pos="284"/>
        </w:tabs>
        <w:ind w:left="0"/>
        <w:jc w:val="both"/>
        <w:rPr>
          <w:rFonts w:ascii="Calibri" w:hAnsi="Calibri"/>
          <w:sz w:val="20"/>
          <w:szCs w:val="20"/>
        </w:rPr>
      </w:pPr>
    </w:p>
    <w:p w:rsidR="0072004F" w:rsidRPr="00734675" w:rsidRDefault="0072004F" w:rsidP="0072004F">
      <w:pPr>
        <w:pStyle w:val="Prrafodelista"/>
        <w:tabs>
          <w:tab w:val="left" w:pos="284"/>
        </w:tabs>
        <w:ind w:left="0"/>
        <w:jc w:val="center"/>
        <w:rPr>
          <w:rFonts w:ascii="Calibri" w:hAnsi="Calibri" w:cs="Arial"/>
          <w:bCs/>
          <w:sz w:val="20"/>
          <w:szCs w:val="20"/>
        </w:rPr>
      </w:pPr>
    </w:p>
    <w:p w:rsidR="00A47351" w:rsidRPr="00734675" w:rsidRDefault="00A47351" w:rsidP="00A47351">
      <w:pPr>
        <w:tabs>
          <w:tab w:val="left" w:pos="284"/>
        </w:tabs>
        <w:jc w:val="both"/>
        <w:rPr>
          <w:rFonts w:ascii="Calibri" w:hAnsi="Calibri" w:cs="Arial"/>
          <w:sz w:val="20"/>
          <w:szCs w:val="20"/>
        </w:rPr>
      </w:pPr>
    </w:p>
    <w:p w:rsidR="002F7598" w:rsidRPr="00734675" w:rsidRDefault="009D57F4" w:rsidP="00EC4253">
      <w:pPr>
        <w:pStyle w:val="Prrafodelista"/>
        <w:tabs>
          <w:tab w:val="left" w:pos="426"/>
        </w:tabs>
        <w:ind w:left="0"/>
        <w:jc w:val="center"/>
        <w:rPr>
          <w:rFonts w:ascii="Calibri" w:hAnsi="Calibri" w:cs="Arial"/>
          <w:bCs/>
          <w:sz w:val="20"/>
          <w:szCs w:val="20"/>
        </w:rPr>
      </w:pPr>
      <w:r w:rsidRPr="00734675">
        <w:rPr>
          <w:noProof/>
          <w:lang w:eastAsia="es-MX"/>
        </w:rPr>
        <w:drawing>
          <wp:inline distT="0" distB="0" distL="0" distR="0">
            <wp:extent cx="4413250" cy="263969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3250" cy="2639695"/>
                    </a:xfrm>
                    <a:prstGeom prst="rect">
                      <a:avLst/>
                    </a:prstGeom>
                    <a:noFill/>
                    <a:ln>
                      <a:noFill/>
                    </a:ln>
                  </pic:spPr>
                </pic:pic>
              </a:graphicData>
            </a:graphic>
          </wp:inline>
        </w:drawing>
      </w:r>
    </w:p>
    <w:p w:rsidR="00AB3F36" w:rsidRPr="00734675" w:rsidRDefault="00AB3F36" w:rsidP="00A47351">
      <w:pPr>
        <w:pStyle w:val="Prrafodelista"/>
        <w:tabs>
          <w:tab w:val="left" w:pos="426"/>
        </w:tabs>
        <w:ind w:left="0"/>
        <w:rPr>
          <w:rFonts w:ascii="Calibri" w:hAnsi="Calibri" w:cs="Arial"/>
          <w:bCs/>
          <w:sz w:val="20"/>
          <w:szCs w:val="20"/>
        </w:rPr>
      </w:pPr>
    </w:p>
    <w:p w:rsidR="00A47351" w:rsidRPr="00734675" w:rsidRDefault="00A47351" w:rsidP="00A47351">
      <w:pPr>
        <w:pStyle w:val="Prrafodelista"/>
        <w:tabs>
          <w:tab w:val="left" w:pos="284"/>
        </w:tabs>
        <w:ind w:left="0"/>
        <w:jc w:val="both"/>
        <w:rPr>
          <w:rFonts w:ascii="Calibri" w:hAnsi="Calibri"/>
          <w:sz w:val="20"/>
          <w:szCs w:val="20"/>
        </w:rPr>
      </w:pPr>
      <w:r w:rsidRPr="00734675">
        <w:rPr>
          <w:rFonts w:ascii="Calibri" w:hAnsi="Calibri"/>
          <w:b/>
          <w:sz w:val="20"/>
          <w:szCs w:val="20"/>
        </w:rPr>
        <w:t>3.1.4</w:t>
      </w:r>
      <w:r w:rsidRPr="00734675">
        <w:rPr>
          <w:rFonts w:ascii="Calibri" w:hAnsi="Calibri"/>
          <w:sz w:val="20"/>
          <w:szCs w:val="20"/>
        </w:rPr>
        <w:t xml:space="preserve"> El resultado del ejercicio por el período del 1</w:t>
      </w:r>
      <w:r w:rsidR="00C137D2" w:rsidRPr="00734675">
        <w:rPr>
          <w:rFonts w:ascii="Calibri" w:hAnsi="Calibri"/>
          <w:sz w:val="20"/>
          <w:szCs w:val="20"/>
        </w:rPr>
        <w:t xml:space="preserve"> de Enero al </w:t>
      </w:r>
      <w:r w:rsidR="0088659F" w:rsidRPr="00734675">
        <w:rPr>
          <w:rFonts w:ascii="Calibri" w:hAnsi="Calibri"/>
          <w:sz w:val="20"/>
          <w:szCs w:val="20"/>
        </w:rPr>
        <w:t>28</w:t>
      </w:r>
      <w:r w:rsidR="00C137D2" w:rsidRPr="00734675">
        <w:rPr>
          <w:rFonts w:ascii="Calibri" w:hAnsi="Calibri"/>
          <w:sz w:val="20"/>
          <w:szCs w:val="20"/>
        </w:rPr>
        <w:t xml:space="preserve"> de </w:t>
      </w:r>
      <w:r w:rsidR="0088659F" w:rsidRPr="00734675">
        <w:rPr>
          <w:rFonts w:ascii="Calibri" w:hAnsi="Calibri"/>
          <w:sz w:val="20"/>
          <w:szCs w:val="20"/>
        </w:rPr>
        <w:t>Febrero</w:t>
      </w:r>
      <w:r w:rsidR="00DD4B8B" w:rsidRPr="00734675">
        <w:rPr>
          <w:rFonts w:ascii="Calibri" w:hAnsi="Calibri"/>
          <w:sz w:val="20"/>
          <w:szCs w:val="20"/>
        </w:rPr>
        <w:t xml:space="preserve"> </w:t>
      </w:r>
      <w:r w:rsidRPr="00734675">
        <w:rPr>
          <w:rFonts w:ascii="Calibri" w:hAnsi="Calibri"/>
          <w:sz w:val="20"/>
          <w:szCs w:val="20"/>
        </w:rPr>
        <w:t>202</w:t>
      </w:r>
      <w:r w:rsidR="001B2940" w:rsidRPr="00734675">
        <w:rPr>
          <w:rFonts w:ascii="Calibri" w:hAnsi="Calibri"/>
          <w:sz w:val="20"/>
          <w:szCs w:val="20"/>
        </w:rPr>
        <w:t>2</w:t>
      </w:r>
      <w:r w:rsidRPr="00734675">
        <w:rPr>
          <w:rFonts w:ascii="Calibri" w:hAnsi="Calibri"/>
          <w:sz w:val="20"/>
          <w:szCs w:val="20"/>
        </w:rPr>
        <w:t>, asciende a la cantidad de</w:t>
      </w:r>
      <w:r w:rsidR="001B2940" w:rsidRPr="00734675">
        <w:rPr>
          <w:rFonts w:ascii="Calibri" w:hAnsi="Calibri"/>
          <w:sz w:val="20"/>
          <w:szCs w:val="20"/>
        </w:rPr>
        <w:t xml:space="preserve"> </w:t>
      </w:r>
      <w:r w:rsidR="0088659F" w:rsidRPr="00734675">
        <w:rPr>
          <w:rFonts w:ascii="Calibri" w:hAnsi="Calibri"/>
          <w:sz w:val="20"/>
          <w:szCs w:val="20"/>
        </w:rPr>
        <w:t>2,111,133.87</w:t>
      </w:r>
      <w:r w:rsidR="00116597" w:rsidRPr="00734675">
        <w:rPr>
          <w:rFonts w:ascii="Calibri" w:hAnsi="Calibri"/>
          <w:sz w:val="20"/>
          <w:szCs w:val="20"/>
        </w:rPr>
        <w:t xml:space="preserve">. </w:t>
      </w:r>
      <w:r w:rsidRPr="00734675">
        <w:rPr>
          <w:rFonts w:ascii="Calibri" w:hAnsi="Calibri"/>
          <w:sz w:val="20"/>
          <w:szCs w:val="20"/>
        </w:rPr>
        <w:t>La determinación de este importe, se detalla en el Estado de Actividades, que proviene de la diferencia entre los ingresos menos los egresos registrados en el período mencionado.</w:t>
      </w:r>
    </w:p>
    <w:p w:rsidR="006234AC" w:rsidRPr="00734675" w:rsidRDefault="006234AC" w:rsidP="00A47351">
      <w:pPr>
        <w:pStyle w:val="Prrafodelista"/>
        <w:tabs>
          <w:tab w:val="left" w:pos="284"/>
        </w:tabs>
        <w:ind w:left="0"/>
        <w:jc w:val="both"/>
        <w:rPr>
          <w:rFonts w:ascii="Calibri" w:hAnsi="Calibri"/>
          <w:sz w:val="20"/>
          <w:szCs w:val="20"/>
        </w:rPr>
      </w:pPr>
    </w:p>
    <w:p w:rsidR="00A47351" w:rsidRPr="00734675" w:rsidRDefault="00A47351" w:rsidP="00A47351">
      <w:pPr>
        <w:tabs>
          <w:tab w:val="left" w:pos="284"/>
        </w:tabs>
        <w:rPr>
          <w:rFonts w:ascii="Calibri" w:hAnsi="Calibri" w:cs="Arial"/>
          <w:bCs/>
          <w:sz w:val="20"/>
          <w:szCs w:val="20"/>
        </w:rPr>
      </w:pPr>
    </w:p>
    <w:p w:rsidR="00A47351" w:rsidRPr="00734675" w:rsidRDefault="00A47351" w:rsidP="00A47351">
      <w:pPr>
        <w:pStyle w:val="Prrafodelista"/>
        <w:numPr>
          <w:ilvl w:val="0"/>
          <w:numId w:val="30"/>
        </w:numPr>
        <w:tabs>
          <w:tab w:val="left" w:pos="426"/>
        </w:tabs>
        <w:rPr>
          <w:rFonts w:ascii="Calibri" w:hAnsi="Calibri"/>
          <w:b/>
          <w:sz w:val="20"/>
          <w:szCs w:val="20"/>
        </w:rPr>
      </w:pPr>
      <w:r w:rsidRPr="00734675">
        <w:rPr>
          <w:rFonts w:ascii="Calibri" w:hAnsi="Calibri"/>
          <w:b/>
          <w:sz w:val="20"/>
          <w:szCs w:val="20"/>
        </w:rPr>
        <w:t>NOTAS AL ESTADO DE FLUJO DE EFECTIVO.</w:t>
      </w:r>
    </w:p>
    <w:p w:rsidR="00A47351" w:rsidRPr="00734675" w:rsidRDefault="00A47351" w:rsidP="00A47351">
      <w:pPr>
        <w:tabs>
          <w:tab w:val="left" w:pos="426"/>
        </w:tabs>
        <w:rPr>
          <w:rFonts w:ascii="Calibri" w:hAnsi="Calibri"/>
          <w:b/>
          <w:sz w:val="20"/>
          <w:szCs w:val="20"/>
        </w:rPr>
      </w:pPr>
    </w:p>
    <w:p w:rsidR="00A47351" w:rsidRPr="00734675" w:rsidRDefault="00A47351" w:rsidP="00A47351">
      <w:pPr>
        <w:pStyle w:val="Prrafodelista"/>
        <w:numPr>
          <w:ilvl w:val="1"/>
          <w:numId w:val="30"/>
        </w:numPr>
        <w:tabs>
          <w:tab w:val="left" w:pos="426"/>
        </w:tabs>
        <w:rPr>
          <w:rFonts w:ascii="Calibri" w:hAnsi="Calibri"/>
          <w:b/>
          <w:sz w:val="20"/>
          <w:szCs w:val="20"/>
        </w:rPr>
      </w:pPr>
      <w:r w:rsidRPr="00734675">
        <w:rPr>
          <w:rFonts w:ascii="Calibri" w:hAnsi="Calibri"/>
          <w:b/>
          <w:sz w:val="20"/>
          <w:szCs w:val="20"/>
        </w:rPr>
        <w:t>Efectivo y equivalente.</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284"/>
        </w:tabs>
        <w:ind w:left="0"/>
        <w:jc w:val="both"/>
        <w:rPr>
          <w:rFonts w:ascii="Calibri" w:hAnsi="Calibri"/>
          <w:sz w:val="20"/>
          <w:szCs w:val="20"/>
        </w:rPr>
      </w:pPr>
      <w:r w:rsidRPr="00734675">
        <w:rPr>
          <w:rFonts w:ascii="Calibri" w:hAnsi="Calibri"/>
          <w:sz w:val="20"/>
          <w:szCs w:val="20"/>
        </w:rPr>
        <w:t>El análisis de los saldos inicial y final que figuran en la última parte del Estado de Flujo de Efectivo en la cuenta de efectivo y equivalentes está integrado de la siguiente manera:</w:t>
      </w:r>
    </w:p>
    <w:p w:rsidR="00A47351" w:rsidRPr="00734675" w:rsidRDefault="00A47351" w:rsidP="00A47351">
      <w:pPr>
        <w:jc w:val="both"/>
        <w:rPr>
          <w:rFonts w:ascii="Calibri" w:hAnsi="Calibri"/>
          <w:sz w:val="20"/>
          <w:szCs w:val="20"/>
        </w:rPr>
      </w:pPr>
    </w:p>
    <w:p w:rsidR="00AB3F36" w:rsidRPr="00734675" w:rsidRDefault="00AB3F36" w:rsidP="00AB3F36">
      <w:pPr>
        <w:jc w:val="center"/>
        <w:rPr>
          <w:rFonts w:ascii="Calibri" w:hAnsi="Calibri"/>
          <w:sz w:val="20"/>
          <w:szCs w:val="20"/>
        </w:rPr>
      </w:pPr>
    </w:p>
    <w:p w:rsidR="00AB3F36" w:rsidRPr="00734675" w:rsidRDefault="0088659F" w:rsidP="00964F63">
      <w:pPr>
        <w:jc w:val="center"/>
        <w:rPr>
          <w:noProof/>
          <w:lang w:eastAsia="es-MX"/>
        </w:rPr>
      </w:pPr>
      <w:r w:rsidRPr="00734675">
        <w:rPr>
          <w:noProof/>
          <w:lang w:eastAsia="es-MX"/>
        </w:rPr>
        <w:drawing>
          <wp:inline distT="0" distB="0" distL="0" distR="0">
            <wp:extent cx="5781675" cy="18478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1675" cy="1847850"/>
                    </a:xfrm>
                    <a:prstGeom prst="rect">
                      <a:avLst/>
                    </a:prstGeom>
                    <a:noFill/>
                    <a:ln>
                      <a:noFill/>
                    </a:ln>
                  </pic:spPr>
                </pic:pic>
              </a:graphicData>
            </a:graphic>
          </wp:inline>
        </w:drawing>
      </w:r>
    </w:p>
    <w:p w:rsidR="00EC4253" w:rsidRPr="00734675" w:rsidRDefault="00EC4253" w:rsidP="00A47351">
      <w:pPr>
        <w:jc w:val="both"/>
        <w:rPr>
          <w:rFonts w:ascii="Calibri" w:hAnsi="Calibri"/>
          <w:sz w:val="20"/>
          <w:szCs w:val="20"/>
        </w:rPr>
      </w:pPr>
    </w:p>
    <w:p w:rsidR="00A47351" w:rsidRPr="00734675" w:rsidRDefault="00CC7B18" w:rsidP="00A47351">
      <w:pPr>
        <w:tabs>
          <w:tab w:val="left" w:pos="426"/>
        </w:tabs>
        <w:jc w:val="both"/>
        <w:rPr>
          <w:rFonts w:ascii="Calibri" w:hAnsi="Calibri"/>
          <w:sz w:val="20"/>
          <w:szCs w:val="20"/>
        </w:rPr>
      </w:pPr>
      <w:r w:rsidRPr="00734675">
        <w:rPr>
          <w:rFonts w:ascii="Calibri" w:hAnsi="Calibri"/>
          <w:sz w:val="20"/>
          <w:szCs w:val="20"/>
        </w:rPr>
        <w:lastRenderedPageBreak/>
        <w:t>Conciliación del Flujo de Efectivo Neto de la Actividades de Operación y los saldos de Resultados del Ejercicio (Ahorro / Desahorro):</w:t>
      </w:r>
    </w:p>
    <w:p w:rsidR="009D522C" w:rsidRPr="00734675" w:rsidRDefault="009D522C" w:rsidP="009D522C">
      <w:pPr>
        <w:tabs>
          <w:tab w:val="left" w:pos="426"/>
        </w:tabs>
        <w:jc w:val="center"/>
        <w:rPr>
          <w:rFonts w:ascii="Calibri" w:hAnsi="Calibri"/>
          <w:sz w:val="20"/>
          <w:szCs w:val="20"/>
        </w:rPr>
      </w:pPr>
    </w:p>
    <w:p w:rsidR="009D522C" w:rsidRPr="00734675" w:rsidRDefault="009D57F4" w:rsidP="0088659F">
      <w:pPr>
        <w:tabs>
          <w:tab w:val="left" w:pos="426"/>
        </w:tabs>
        <w:jc w:val="center"/>
        <w:rPr>
          <w:rFonts w:ascii="Calibri" w:hAnsi="Calibri"/>
          <w:sz w:val="20"/>
          <w:szCs w:val="20"/>
        </w:rPr>
      </w:pPr>
      <w:r w:rsidRPr="00734675">
        <w:rPr>
          <w:noProof/>
          <w:lang w:eastAsia="es-MX"/>
        </w:rPr>
        <w:drawing>
          <wp:inline distT="0" distB="0" distL="0" distR="0">
            <wp:extent cx="5780405" cy="2202815"/>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0405" cy="2202815"/>
                    </a:xfrm>
                    <a:prstGeom prst="rect">
                      <a:avLst/>
                    </a:prstGeom>
                    <a:noFill/>
                    <a:ln>
                      <a:noFill/>
                    </a:ln>
                  </pic:spPr>
                </pic:pic>
              </a:graphicData>
            </a:graphic>
          </wp:inline>
        </w:drawing>
      </w:r>
    </w:p>
    <w:p w:rsidR="00CC7B18" w:rsidRPr="00734675" w:rsidRDefault="00CC7B18" w:rsidP="00A47351">
      <w:pPr>
        <w:tabs>
          <w:tab w:val="left" w:pos="426"/>
        </w:tabs>
        <w:jc w:val="both"/>
        <w:rPr>
          <w:rFonts w:ascii="Calibri" w:hAnsi="Calibri"/>
          <w:sz w:val="20"/>
          <w:szCs w:val="20"/>
        </w:rPr>
      </w:pPr>
    </w:p>
    <w:p w:rsidR="00A47351" w:rsidRPr="00734675" w:rsidRDefault="00A47351" w:rsidP="00A47351">
      <w:pPr>
        <w:pStyle w:val="Prrafodelista"/>
        <w:numPr>
          <w:ilvl w:val="0"/>
          <w:numId w:val="30"/>
        </w:numPr>
        <w:tabs>
          <w:tab w:val="left" w:pos="0"/>
          <w:tab w:val="left" w:pos="426"/>
        </w:tabs>
        <w:ind w:left="0" w:firstLine="0"/>
        <w:rPr>
          <w:rFonts w:ascii="Calibri" w:hAnsi="Calibri"/>
          <w:b/>
          <w:sz w:val="20"/>
          <w:szCs w:val="20"/>
        </w:rPr>
      </w:pPr>
      <w:r w:rsidRPr="00734675">
        <w:rPr>
          <w:rFonts w:ascii="Calibri" w:hAnsi="Calibri"/>
          <w:b/>
          <w:sz w:val="20"/>
          <w:szCs w:val="20"/>
        </w:rPr>
        <w:t>CONCILIACIÓN ENTRE LOS INGRESOS PRESUPUESTARIOS Y CONTABLES, ASÍ COMO ENTRE LOS EGRESOS PRESUPUESTARIOS Y LOS GASTOS CONTABLES.</w:t>
      </w:r>
    </w:p>
    <w:p w:rsidR="00A47351" w:rsidRPr="00734675" w:rsidRDefault="00A47351" w:rsidP="00A47351">
      <w:pPr>
        <w:tabs>
          <w:tab w:val="left" w:pos="426"/>
        </w:tabs>
        <w:rPr>
          <w:rFonts w:ascii="Calibri" w:hAnsi="Calibri"/>
          <w:b/>
          <w:sz w:val="20"/>
          <w:szCs w:val="20"/>
        </w:rPr>
      </w:pPr>
    </w:p>
    <w:p w:rsidR="00A47351" w:rsidRPr="00734675" w:rsidRDefault="00A47351" w:rsidP="00A47351">
      <w:pPr>
        <w:tabs>
          <w:tab w:val="left" w:pos="426"/>
        </w:tabs>
        <w:jc w:val="both"/>
        <w:rPr>
          <w:rFonts w:ascii="Calibri" w:hAnsi="Calibri"/>
          <w:sz w:val="20"/>
          <w:szCs w:val="20"/>
        </w:rPr>
      </w:pPr>
      <w:r w:rsidRPr="00734675">
        <w:rPr>
          <w:rFonts w:ascii="Calibri" w:hAnsi="Calibr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F930A2" w:rsidRPr="00734675" w:rsidRDefault="00F930A2" w:rsidP="00F930A2">
      <w:pPr>
        <w:tabs>
          <w:tab w:val="left" w:pos="7282"/>
        </w:tabs>
        <w:jc w:val="center"/>
        <w:rPr>
          <w:rFonts w:ascii="Calibri" w:hAnsi="Calibri"/>
          <w:sz w:val="20"/>
          <w:szCs w:val="20"/>
        </w:rPr>
      </w:pPr>
    </w:p>
    <w:p w:rsidR="00EC4253" w:rsidRPr="00734675" w:rsidRDefault="0088659F" w:rsidP="00F930A2">
      <w:pPr>
        <w:tabs>
          <w:tab w:val="left" w:pos="7282"/>
        </w:tabs>
        <w:jc w:val="center"/>
        <w:rPr>
          <w:noProof/>
          <w:lang w:eastAsia="es-MX"/>
        </w:rPr>
      </w:pPr>
      <w:r w:rsidRPr="00734675">
        <w:rPr>
          <w:noProof/>
          <w:lang w:eastAsia="es-MX"/>
        </w:rPr>
        <w:drawing>
          <wp:inline distT="0" distB="0" distL="0" distR="0">
            <wp:extent cx="5514975" cy="4114800"/>
            <wp:effectExtent l="0" t="0" r="952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14975" cy="4114800"/>
                    </a:xfrm>
                    <a:prstGeom prst="rect">
                      <a:avLst/>
                    </a:prstGeom>
                    <a:noFill/>
                    <a:ln>
                      <a:noFill/>
                    </a:ln>
                  </pic:spPr>
                </pic:pic>
              </a:graphicData>
            </a:graphic>
          </wp:inline>
        </w:drawing>
      </w:r>
    </w:p>
    <w:p w:rsidR="001B2940" w:rsidRPr="00734675" w:rsidRDefault="001B2940" w:rsidP="00F930A2">
      <w:pPr>
        <w:tabs>
          <w:tab w:val="left" w:pos="7282"/>
        </w:tabs>
        <w:jc w:val="center"/>
        <w:rPr>
          <w:noProof/>
          <w:lang w:eastAsia="es-MX"/>
        </w:rPr>
      </w:pPr>
    </w:p>
    <w:p w:rsidR="001B2940" w:rsidRPr="00734675" w:rsidRDefault="000B48E0" w:rsidP="00F930A2">
      <w:pPr>
        <w:tabs>
          <w:tab w:val="left" w:pos="7282"/>
        </w:tabs>
        <w:jc w:val="center"/>
        <w:rPr>
          <w:noProof/>
          <w:lang w:eastAsia="es-MX"/>
        </w:rPr>
      </w:pPr>
      <w:r w:rsidRPr="00734675">
        <w:rPr>
          <w:noProof/>
          <w:lang w:eastAsia="es-MX"/>
        </w:rPr>
        <w:lastRenderedPageBreak/>
        <w:drawing>
          <wp:inline distT="0" distB="0" distL="0" distR="0">
            <wp:extent cx="5518150" cy="8563610"/>
            <wp:effectExtent l="0" t="0" r="635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8150" cy="8563610"/>
                    </a:xfrm>
                    <a:prstGeom prst="rect">
                      <a:avLst/>
                    </a:prstGeom>
                    <a:noFill/>
                    <a:ln>
                      <a:noFill/>
                    </a:ln>
                  </pic:spPr>
                </pic:pic>
              </a:graphicData>
            </a:graphic>
          </wp:inline>
        </w:drawing>
      </w:r>
    </w:p>
    <w:p w:rsidR="0088659F" w:rsidRPr="00734675" w:rsidRDefault="0088659F" w:rsidP="00F930A2">
      <w:pPr>
        <w:tabs>
          <w:tab w:val="left" w:pos="7282"/>
        </w:tabs>
        <w:jc w:val="center"/>
        <w:rPr>
          <w:noProof/>
          <w:lang w:eastAsia="es-MX"/>
        </w:rPr>
      </w:pPr>
    </w:p>
    <w:p w:rsidR="00A47351" w:rsidRPr="00734675" w:rsidRDefault="00A47351" w:rsidP="00A47351">
      <w:pPr>
        <w:pStyle w:val="Prrafodelista"/>
        <w:numPr>
          <w:ilvl w:val="0"/>
          <w:numId w:val="15"/>
        </w:numPr>
        <w:tabs>
          <w:tab w:val="left" w:pos="426"/>
        </w:tabs>
        <w:ind w:left="0" w:firstLine="0"/>
        <w:rPr>
          <w:rFonts w:ascii="Calibri" w:hAnsi="Calibri"/>
          <w:b/>
          <w:sz w:val="20"/>
          <w:szCs w:val="20"/>
        </w:rPr>
      </w:pPr>
      <w:r w:rsidRPr="00734675">
        <w:rPr>
          <w:rFonts w:ascii="Calibri" w:hAnsi="Calibri"/>
          <w:b/>
          <w:sz w:val="20"/>
          <w:szCs w:val="20"/>
        </w:rPr>
        <w:t>NOTAS DE MEMORIA.</w:t>
      </w:r>
    </w:p>
    <w:p w:rsidR="000A0DE1" w:rsidRPr="00734675" w:rsidRDefault="000A0DE1" w:rsidP="000A0DE1">
      <w:pPr>
        <w:jc w:val="both"/>
        <w:rPr>
          <w:rFonts w:ascii="Calibri" w:hAnsi="Calibri"/>
          <w:sz w:val="20"/>
          <w:szCs w:val="20"/>
        </w:rPr>
      </w:pPr>
    </w:p>
    <w:p w:rsidR="000A0DE1" w:rsidRPr="00734675" w:rsidRDefault="000A0DE1" w:rsidP="000A0DE1">
      <w:pPr>
        <w:jc w:val="both"/>
        <w:rPr>
          <w:rFonts w:ascii="Calibri" w:hAnsi="Calibri"/>
          <w:sz w:val="20"/>
          <w:szCs w:val="20"/>
        </w:rPr>
      </w:pPr>
      <w:r w:rsidRPr="00734675">
        <w:rPr>
          <w:rFonts w:ascii="Calibri" w:hAnsi="Calibri"/>
          <w:sz w:val="20"/>
          <w:szCs w:val="20"/>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0A0DE1" w:rsidRPr="00734675" w:rsidRDefault="000A0DE1" w:rsidP="000A0DE1">
      <w:pPr>
        <w:jc w:val="both"/>
        <w:rPr>
          <w:rFonts w:ascii="Calibri" w:hAnsi="Calibri"/>
          <w:sz w:val="20"/>
          <w:szCs w:val="20"/>
        </w:rPr>
      </w:pPr>
    </w:p>
    <w:p w:rsidR="000A0DE1" w:rsidRPr="00734675" w:rsidRDefault="000A0DE1" w:rsidP="000A0DE1">
      <w:pPr>
        <w:jc w:val="both"/>
        <w:rPr>
          <w:rFonts w:ascii="Calibri" w:hAnsi="Calibri"/>
          <w:sz w:val="20"/>
          <w:szCs w:val="20"/>
        </w:rPr>
      </w:pPr>
      <w:r w:rsidRPr="00734675">
        <w:rPr>
          <w:rFonts w:ascii="Calibri" w:hAnsi="Calibri"/>
          <w:sz w:val="20"/>
          <w:szCs w:val="20"/>
        </w:rPr>
        <w:t>Las cuentas que se manejan para efectos de estas Notas son las siguientes:</w:t>
      </w:r>
    </w:p>
    <w:p w:rsidR="000A0DE1" w:rsidRPr="00734675" w:rsidRDefault="000A0DE1" w:rsidP="000A0DE1">
      <w:pPr>
        <w:jc w:val="both"/>
        <w:rPr>
          <w:rFonts w:ascii="Calibri" w:hAnsi="Calibri"/>
          <w:sz w:val="20"/>
          <w:szCs w:val="20"/>
        </w:rPr>
      </w:pPr>
    </w:p>
    <w:p w:rsidR="000A0DE1" w:rsidRPr="00734675" w:rsidRDefault="000A0DE1" w:rsidP="000A0DE1">
      <w:pPr>
        <w:jc w:val="both"/>
        <w:rPr>
          <w:rFonts w:ascii="Calibri" w:hAnsi="Calibri"/>
          <w:b/>
          <w:sz w:val="20"/>
          <w:szCs w:val="20"/>
        </w:rPr>
      </w:pPr>
      <w:r w:rsidRPr="00734675">
        <w:rPr>
          <w:rFonts w:ascii="Calibri" w:hAnsi="Calibri"/>
          <w:b/>
          <w:sz w:val="20"/>
          <w:szCs w:val="20"/>
        </w:rPr>
        <w:t>Cuentas de Orden Contables y Presupuestarias:</w:t>
      </w:r>
    </w:p>
    <w:p w:rsidR="000A0DE1" w:rsidRPr="00734675" w:rsidRDefault="000A0DE1" w:rsidP="000A0DE1">
      <w:pPr>
        <w:jc w:val="both"/>
        <w:rPr>
          <w:rFonts w:ascii="Calibri" w:hAnsi="Calibri"/>
          <w:sz w:val="20"/>
          <w:szCs w:val="20"/>
        </w:rPr>
      </w:pPr>
    </w:p>
    <w:p w:rsidR="000A0DE1" w:rsidRPr="00734675" w:rsidRDefault="000A0DE1" w:rsidP="000A0DE1">
      <w:pPr>
        <w:jc w:val="both"/>
        <w:rPr>
          <w:rFonts w:ascii="Calibri" w:hAnsi="Calibri"/>
          <w:i/>
          <w:sz w:val="20"/>
          <w:szCs w:val="20"/>
        </w:rPr>
      </w:pPr>
      <w:r w:rsidRPr="00734675">
        <w:rPr>
          <w:rFonts w:ascii="Calibri" w:hAnsi="Calibri"/>
          <w:i/>
          <w:sz w:val="20"/>
          <w:szCs w:val="20"/>
        </w:rPr>
        <w:t>Contables:</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Valores</w:t>
      </w:r>
      <w:r w:rsidR="00EA2BBF" w:rsidRPr="00734675">
        <w:rPr>
          <w:rFonts w:ascii="Calibri" w:hAnsi="Calibri"/>
          <w:sz w:val="20"/>
          <w:szCs w:val="20"/>
        </w:rPr>
        <w:t>- No aplica</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Emisión de obligaciones</w:t>
      </w:r>
      <w:r w:rsidR="00EA2BBF" w:rsidRPr="00734675">
        <w:rPr>
          <w:rFonts w:ascii="Calibri" w:hAnsi="Calibri"/>
          <w:sz w:val="20"/>
          <w:szCs w:val="20"/>
        </w:rPr>
        <w:t>- No aplica</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Avales y garantías</w:t>
      </w:r>
      <w:r w:rsidR="00EA2BBF" w:rsidRPr="00734675">
        <w:rPr>
          <w:rFonts w:ascii="Calibri" w:hAnsi="Calibri"/>
          <w:sz w:val="20"/>
          <w:szCs w:val="20"/>
        </w:rPr>
        <w:t>- No aplica</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Juicios</w:t>
      </w:r>
      <w:r w:rsidR="00EA2BBF" w:rsidRPr="00734675">
        <w:rPr>
          <w:rFonts w:ascii="Calibri" w:hAnsi="Calibri"/>
          <w:sz w:val="20"/>
          <w:szCs w:val="20"/>
        </w:rPr>
        <w:t>- No aplica</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Contratos para Inversión Mediante Proyectos para Prestación de Servicios (PPS) y Similares</w:t>
      </w:r>
      <w:r w:rsidR="00EA2BBF" w:rsidRPr="00734675">
        <w:rPr>
          <w:rFonts w:ascii="Calibri" w:hAnsi="Calibri"/>
          <w:sz w:val="20"/>
          <w:szCs w:val="20"/>
        </w:rPr>
        <w:t>- No aplica</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Bienes concesionados o en comodato</w:t>
      </w:r>
    </w:p>
    <w:p w:rsidR="000A0DE1" w:rsidRPr="00734675" w:rsidRDefault="000A0DE1" w:rsidP="000A0DE1">
      <w:pPr>
        <w:jc w:val="both"/>
        <w:rPr>
          <w:rFonts w:ascii="Calibri" w:hAnsi="Calibri"/>
          <w:sz w:val="20"/>
          <w:szCs w:val="20"/>
        </w:rPr>
      </w:pPr>
    </w:p>
    <w:p w:rsidR="000A0DE1" w:rsidRPr="00734675" w:rsidRDefault="000A0DE1" w:rsidP="000A0DE1">
      <w:pPr>
        <w:jc w:val="both"/>
        <w:rPr>
          <w:rFonts w:ascii="Calibri" w:hAnsi="Calibri"/>
          <w:i/>
          <w:sz w:val="20"/>
          <w:szCs w:val="20"/>
        </w:rPr>
      </w:pPr>
      <w:r w:rsidRPr="00734675">
        <w:rPr>
          <w:rFonts w:ascii="Calibri" w:hAnsi="Calibri"/>
          <w:i/>
          <w:sz w:val="20"/>
          <w:szCs w:val="20"/>
        </w:rPr>
        <w:t>Presupuestarias:</w:t>
      </w:r>
    </w:p>
    <w:p w:rsidR="000A0DE1" w:rsidRPr="00734675" w:rsidRDefault="000A0DE1" w:rsidP="000A0DE1">
      <w:pPr>
        <w:jc w:val="both"/>
        <w:rPr>
          <w:rFonts w:ascii="Calibri" w:hAnsi="Calibri"/>
          <w:sz w:val="20"/>
          <w:szCs w:val="20"/>
        </w:rPr>
      </w:pPr>
      <w:r w:rsidRPr="00734675">
        <w:rPr>
          <w:rFonts w:ascii="Calibri" w:hAnsi="Calibri"/>
          <w:sz w:val="20"/>
          <w:szCs w:val="20"/>
        </w:rPr>
        <w:t xml:space="preserve"> Cuentas de ingresos</w:t>
      </w:r>
    </w:p>
    <w:p w:rsidR="00A47351" w:rsidRPr="00734675" w:rsidRDefault="000A0DE1" w:rsidP="000A0DE1">
      <w:pPr>
        <w:jc w:val="both"/>
        <w:rPr>
          <w:rFonts w:ascii="Calibri" w:hAnsi="Calibri"/>
          <w:sz w:val="20"/>
          <w:szCs w:val="20"/>
        </w:rPr>
      </w:pPr>
      <w:r w:rsidRPr="00734675">
        <w:rPr>
          <w:rFonts w:ascii="Calibri" w:hAnsi="Calibri"/>
          <w:sz w:val="20"/>
          <w:szCs w:val="20"/>
        </w:rPr>
        <w:t xml:space="preserve"> Cuentas de egresos</w:t>
      </w:r>
    </w:p>
    <w:p w:rsidR="00B40978" w:rsidRPr="00734675" w:rsidRDefault="00B40978" w:rsidP="00B40978">
      <w:pPr>
        <w:jc w:val="both"/>
        <w:rPr>
          <w:rFonts w:ascii="Calibri" w:hAnsi="Calibri"/>
          <w:sz w:val="20"/>
          <w:szCs w:val="20"/>
        </w:rPr>
      </w:pPr>
    </w:p>
    <w:p w:rsidR="000A0DE1" w:rsidRPr="00734675" w:rsidRDefault="000A0DE1" w:rsidP="000A0DE1">
      <w:pPr>
        <w:pStyle w:val="Prrafodelista"/>
        <w:numPr>
          <w:ilvl w:val="0"/>
          <w:numId w:val="13"/>
        </w:numPr>
        <w:tabs>
          <w:tab w:val="left" w:pos="284"/>
        </w:tabs>
        <w:ind w:left="284" w:hanging="284"/>
        <w:jc w:val="both"/>
        <w:rPr>
          <w:rFonts w:ascii="Calibri" w:hAnsi="Calibri"/>
          <w:sz w:val="20"/>
          <w:szCs w:val="20"/>
        </w:rPr>
      </w:pPr>
      <w:r w:rsidRPr="00734675">
        <w:rPr>
          <w:rFonts w:ascii="Calibri" w:hAnsi="Calibri"/>
          <w:sz w:val="20"/>
          <w:szCs w:val="20"/>
        </w:rPr>
        <w:t xml:space="preserve">A continuación se detallan las cuentas de orden contable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xml:space="preserve"> :</w:t>
      </w:r>
    </w:p>
    <w:p w:rsidR="003D79BC" w:rsidRPr="00734675" w:rsidRDefault="003D79BC" w:rsidP="003D79BC">
      <w:pPr>
        <w:pStyle w:val="Prrafodelista"/>
        <w:tabs>
          <w:tab w:val="left" w:pos="284"/>
        </w:tabs>
        <w:jc w:val="both"/>
        <w:rPr>
          <w:rFonts w:ascii="Calibri" w:hAnsi="Calibri"/>
          <w:sz w:val="20"/>
          <w:szCs w:val="20"/>
        </w:rPr>
      </w:pPr>
    </w:p>
    <w:p w:rsidR="003D79BC" w:rsidRPr="00734675" w:rsidRDefault="003D79BC" w:rsidP="003D79BC">
      <w:pPr>
        <w:pStyle w:val="Prrafodelista"/>
        <w:tabs>
          <w:tab w:val="left" w:pos="284"/>
        </w:tabs>
        <w:ind w:left="0"/>
        <w:jc w:val="both"/>
        <w:rPr>
          <w:rFonts w:ascii="Calibri" w:hAnsi="Calibri"/>
          <w:sz w:val="20"/>
          <w:szCs w:val="20"/>
        </w:rPr>
      </w:pPr>
      <w:r w:rsidRPr="00734675">
        <w:rPr>
          <w:rFonts w:ascii="Calibri" w:hAnsi="Calibri"/>
          <w:sz w:val="20"/>
          <w:szCs w:val="20"/>
        </w:rPr>
        <w:t>El  FIGAROSY cuenta con bienes recibidos en concesión a través de documentos y convenios celebrados con las siguientes instituciones:</w:t>
      </w:r>
    </w:p>
    <w:p w:rsidR="003D79BC" w:rsidRPr="00734675" w:rsidRDefault="003D79BC" w:rsidP="003D79BC">
      <w:pPr>
        <w:pStyle w:val="Prrafodelista"/>
        <w:tabs>
          <w:tab w:val="left" w:pos="284"/>
        </w:tabs>
        <w:ind w:left="0"/>
        <w:jc w:val="both"/>
        <w:rPr>
          <w:rFonts w:ascii="Calibri" w:hAnsi="Calibri"/>
          <w:sz w:val="20"/>
          <w:szCs w:val="20"/>
        </w:rPr>
      </w:pPr>
    </w:p>
    <w:p w:rsidR="003D79BC" w:rsidRPr="00734675" w:rsidRDefault="003D79BC" w:rsidP="003D79BC">
      <w:pPr>
        <w:pStyle w:val="Prrafodelista"/>
        <w:tabs>
          <w:tab w:val="left" w:pos="284"/>
        </w:tabs>
        <w:ind w:left="0"/>
        <w:jc w:val="both"/>
        <w:rPr>
          <w:rFonts w:ascii="Calibri" w:hAnsi="Calibri"/>
          <w:sz w:val="20"/>
          <w:szCs w:val="20"/>
        </w:rPr>
      </w:pPr>
      <w:r w:rsidRPr="00734675">
        <w:rPr>
          <w:rFonts w:ascii="Calibri" w:hAnsi="Calibri"/>
          <w:sz w:val="20"/>
          <w:szCs w:val="20"/>
        </w:rPr>
        <w:t>Secretaría de Administración y Finanzas del Gobierno del Estado (SAF).</w:t>
      </w:r>
    </w:p>
    <w:p w:rsidR="003D79BC" w:rsidRPr="00734675" w:rsidRDefault="003D79BC" w:rsidP="003D79BC">
      <w:pPr>
        <w:pStyle w:val="Prrafodelista"/>
        <w:tabs>
          <w:tab w:val="left" w:pos="284"/>
        </w:tabs>
        <w:ind w:left="0"/>
        <w:jc w:val="both"/>
        <w:rPr>
          <w:rFonts w:ascii="Calibri" w:hAnsi="Calibri"/>
          <w:sz w:val="20"/>
          <w:szCs w:val="20"/>
        </w:rPr>
      </w:pPr>
    </w:p>
    <w:p w:rsidR="003D79BC" w:rsidRPr="00734675" w:rsidRDefault="003D79BC" w:rsidP="003D79BC">
      <w:pPr>
        <w:pStyle w:val="Prrafodelista"/>
        <w:tabs>
          <w:tab w:val="left" w:pos="284"/>
        </w:tabs>
        <w:ind w:left="0"/>
        <w:jc w:val="both"/>
        <w:rPr>
          <w:rFonts w:ascii="Calibri" w:hAnsi="Calibri"/>
          <w:sz w:val="20"/>
          <w:szCs w:val="20"/>
        </w:rPr>
      </w:pPr>
      <w:r w:rsidRPr="00734675">
        <w:rPr>
          <w:rFonts w:ascii="Calibri" w:hAnsi="Calibri"/>
          <w:sz w:val="20"/>
          <w:szCs w:val="20"/>
        </w:rPr>
        <w:t xml:space="preserve">Con esta secretaría se celebró </w:t>
      </w:r>
      <w:r w:rsidR="006039CB" w:rsidRPr="00734675">
        <w:rPr>
          <w:rFonts w:ascii="Calibri" w:hAnsi="Calibri"/>
          <w:sz w:val="20"/>
          <w:szCs w:val="20"/>
        </w:rPr>
        <w:t xml:space="preserve">el </w:t>
      </w:r>
      <w:r w:rsidRPr="00734675">
        <w:rPr>
          <w:rFonts w:ascii="Calibri" w:hAnsi="Calibri"/>
          <w:sz w:val="20"/>
          <w:szCs w:val="20"/>
        </w:rPr>
        <w:t>acuerdo de afectación</w:t>
      </w:r>
      <w:r w:rsidR="006039CB" w:rsidRPr="00734675">
        <w:rPr>
          <w:rFonts w:ascii="Calibri" w:hAnsi="Calibri"/>
          <w:sz w:val="20"/>
          <w:szCs w:val="20"/>
        </w:rPr>
        <w:t xml:space="preserve"> No. SAF/BI.096/2019 del 2 de agosto de 2019,</w:t>
      </w:r>
      <w:r w:rsidRPr="00734675">
        <w:rPr>
          <w:rFonts w:ascii="Calibri" w:hAnsi="Calibri"/>
          <w:sz w:val="20"/>
          <w:szCs w:val="20"/>
        </w:rPr>
        <w:t xml:space="preserve"> por medio del cual se formaliza la ocupación de parte del edificio Teatro Peón Contreras, cede de las oficinas administrativas del FIGAROSY. Este inmueble es catalogado como un monumento histórico, motivo por el cual es de un valor incalculable, y para efectos del CONAC se registra a valor de $1.00. Se encuentra registrado en la contabilidad.</w:t>
      </w:r>
    </w:p>
    <w:p w:rsidR="003D79BC" w:rsidRPr="00734675" w:rsidRDefault="003D79BC" w:rsidP="00F930A2">
      <w:pPr>
        <w:pStyle w:val="Prrafodelista"/>
        <w:tabs>
          <w:tab w:val="left" w:pos="284"/>
        </w:tabs>
        <w:ind w:left="0"/>
        <w:jc w:val="both"/>
        <w:rPr>
          <w:rFonts w:ascii="Calibri" w:hAnsi="Calibri"/>
          <w:sz w:val="20"/>
          <w:szCs w:val="20"/>
        </w:rPr>
      </w:pPr>
    </w:p>
    <w:p w:rsidR="003045FF" w:rsidRPr="00734675" w:rsidRDefault="00EA2BBF" w:rsidP="003D79BC">
      <w:pPr>
        <w:pStyle w:val="Prrafodelista"/>
        <w:tabs>
          <w:tab w:val="left" w:pos="284"/>
        </w:tabs>
        <w:ind w:left="0"/>
        <w:jc w:val="both"/>
        <w:rPr>
          <w:rFonts w:ascii="Calibri" w:hAnsi="Calibri"/>
          <w:sz w:val="20"/>
          <w:szCs w:val="20"/>
        </w:rPr>
      </w:pPr>
      <w:r w:rsidRPr="00734675">
        <w:rPr>
          <w:rFonts w:ascii="Calibri" w:hAnsi="Calibri"/>
          <w:sz w:val="20"/>
          <w:szCs w:val="20"/>
        </w:rPr>
        <w:t xml:space="preserve">De igual forma, </w:t>
      </w:r>
      <w:r w:rsidR="003D79BC" w:rsidRPr="00734675">
        <w:rPr>
          <w:rFonts w:ascii="Calibri" w:hAnsi="Calibri"/>
          <w:sz w:val="20"/>
          <w:szCs w:val="20"/>
        </w:rPr>
        <w:t>esta secretaría  entregó al FIGAROSY mediante formato de entrega-recepción vehicular de fecha 19 de mayo 2</w:t>
      </w:r>
      <w:r w:rsidR="003045FF" w:rsidRPr="00734675">
        <w:rPr>
          <w:rFonts w:ascii="Calibri" w:hAnsi="Calibri"/>
          <w:sz w:val="20"/>
          <w:szCs w:val="20"/>
        </w:rPr>
        <w:t>016 los siguientes vehículos:</w:t>
      </w:r>
    </w:p>
    <w:p w:rsidR="003045FF" w:rsidRPr="00734675" w:rsidRDefault="003045FF" w:rsidP="003D79BC">
      <w:pPr>
        <w:pStyle w:val="Prrafodelista"/>
        <w:tabs>
          <w:tab w:val="left" w:pos="284"/>
        </w:tabs>
        <w:ind w:left="0"/>
        <w:jc w:val="both"/>
        <w:rPr>
          <w:rFonts w:ascii="Calibri" w:hAnsi="Calibri"/>
          <w:sz w:val="20"/>
          <w:szCs w:val="20"/>
        </w:rPr>
      </w:pPr>
    </w:p>
    <w:p w:rsidR="003045FF" w:rsidRPr="00734675" w:rsidRDefault="003045FF" w:rsidP="003D79BC">
      <w:pPr>
        <w:pStyle w:val="Prrafodelista"/>
        <w:tabs>
          <w:tab w:val="left" w:pos="284"/>
        </w:tabs>
        <w:ind w:left="0"/>
        <w:jc w:val="both"/>
        <w:rPr>
          <w:rFonts w:ascii="Calibri" w:hAnsi="Calibri"/>
          <w:sz w:val="20"/>
          <w:szCs w:val="20"/>
        </w:rPr>
      </w:pPr>
      <w:r w:rsidRPr="00734675">
        <w:rPr>
          <w:rFonts w:ascii="Calibri" w:hAnsi="Calibri"/>
          <w:sz w:val="20"/>
          <w:szCs w:val="20"/>
        </w:rPr>
        <w:t>El</w:t>
      </w:r>
      <w:r w:rsidR="00E47B6F" w:rsidRPr="00734675">
        <w:rPr>
          <w:rFonts w:ascii="Calibri" w:hAnsi="Calibri"/>
          <w:sz w:val="20"/>
          <w:szCs w:val="20"/>
        </w:rPr>
        <w:t xml:space="preserve"> </w:t>
      </w:r>
      <w:r w:rsidRPr="00734675">
        <w:rPr>
          <w:rFonts w:ascii="Calibri" w:hAnsi="Calibri"/>
          <w:sz w:val="20"/>
          <w:szCs w:val="20"/>
        </w:rPr>
        <w:t xml:space="preserve">primer vehículo es marca Chevrolet, modelo Aveo, año 2016 color blanco, con números de serie </w:t>
      </w:r>
      <w:r w:rsidR="00E47B6F" w:rsidRPr="00734675">
        <w:rPr>
          <w:rFonts w:ascii="Calibri" w:hAnsi="Calibri"/>
          <w:sz w:val="20"/>
          <w:szCs w:val="20"/>
        </w:rPr>
        <w:t>3G1TA5AF1GL152904</w:t>
      </w:r>
      <w:r w:rsidRPr="00734675">
        <w:rPr>
          <w:rFonts w:ascii="Calibri" w:hAnsi="Calibri"/>
          <w:sz w:val="20"/>
          <w:szCs w:val="20"/>
        </w:rPr>
        <w:t xml:space="preserve"> y resguardado por el Chofer/diligenciero. El segundo vehículo es marca Chevrolet, modelo Aveo, año 2016 color blanco, con números de serie </w:t>
      </w:r>
      <w:r w:rsidR="00E47B6F" w:rsidRPr="00734675">
        <w:rPr>
          <w:rFonts w:ascii="Calibri" w:hAnsi="Calibri"/>
          <w:sz w:val="20"/>
          <w:szCs w:val="20"/>
        </w:rPr>
        <w:t>3G1TA5AF7GL153118</w:t>
      </w:r>
      <w:r w:rsidRPr="00734675">
        <w:rPr>
          <w:rFonts w:ascii="Calibri" w:hAnsi="Calibri"/>
          <w:sz w:val="20"/>
          <w:szCs w:val="20"/>
        </w:rPr>
        <w:t xml:space="preserve"> y resgua</w:t>
      </w:r>
      <w:r w:rsidR="00E47B6F" w:rsidRPr="00734675">
        <w:rPr>
          <w:rFonts w:ascii="Calibri" w:hAnsi="Calibri"/>
          <w:sz w:val="20"/>
          <w:szCs w:val="20"/>
        </w:rPr>
        <w:t>rdado por el Jefe de Compras</w:t>
      </w:r>
      <w:r w:rsidRPr="00734675">
        <w:rPr>
          <w:rFonts w:ascii="Calibri" w:hAnsi="Calibri"/>
          <w:sz w:val="20"/>
          <w:szCs w:val="20"/>
        </w:rPr>
        <w:t>.</w:t>
      </w:r>
    </w:p>
    <w:p w:rsidR="003045FF" w:rsidRPr="00734675" w:rsidRDefault="003045FF" w:rsidP="003D79BC">
      <w:pPr>
        <w:pStyle w:val="Prrafodelista"/>
        <w:tabs>
          <w:tab w:val="left" w:pos="284"/>
        </w:tabs>
        <w:ind w:left="0"/>
        <w:jc w:val="both"/>
        <w:rPr>
          <w:rFonts w:ascii="Calibri" w:hAnsi="Calibri"/>
          <w:sz w:val="20"/>
          <w:szCs w:val="20"/>
        </w:rPr>
      </w:pPr>
    </w:p>
    <w:p w:rsidR="003D79BC" w:rsidRPr="00734675" w:rsidRDefault="003D79BC" w:rsidP="003D79BC">
      <w:pPr>
        <w:pStyle w:val="Prrafodelista"/>
        <w:tabs>
          <w:tab w:val="left" w:pos="284"/>
        </w:tabs>
        <w:ind w:left="0"/>
        <w:jc w:val="both"/>
        <w:rPr>
          <w:rFonts w:ascii="Calibri" w:hAnsi="Calibri"/>
          <w:sz w:val="20"/>
          <w:szCs w:val="20"/>
        </w:rPr>
      </w:pPr>
      <w:r w:rsidRPr="00734675">
        <w:rPr>
          <w:rFonts w:ascii="Calibri" w:hAnsi="Calibri"/>
          <w:sz w:val="20"/>
          <w:szCs w:val="20"/>
        </w:rPr>
        <w:t>Estos bienes son arrendados por la SAF, por lo que no se conoce el valor factura por lo que se registran a valor de $1.00</w:t>
      </w:r>
      <w:r w:rsidR="00EA2BBF" w:rsidRPr="00734675">
        <w:rPr>
          <w:rFonts w:ascii="Calibri" w:hAnsi="Calibri"/>
          <w:sz w:val="20"/>
          <w:szCs w:val="20"/>
        </w:rPr>
        <w:t xml:space="preserve"> cada uno</w:t>
      </w:r>
      <w:r w:rsidRPr="00734675">
        <w:rPr>
          <w:rFonts w:ascii="Calibri" w:hAnsi="Calibri"/>
          <w:sz w:val="20"/>
          <w:szCs w:val="20"/>
        </w:rPr>
        <w:t>.</w:t>
      </w:r>
    </w:p>
    <w:p w:rsidR="003D79BC" w:rsidRPr="00734675" w:rsidRDefault="003D79BC" w:rsidP="003D79BC">
      <w:pPr>
        <w:pStyle w:val="Prrafodelista"/>
        <w:tabs>
          <w:tab w:val="left" w:pos="284"/>
        </w:tabs>
        <w:ind w:left="0"/>
        <w:jc w:val="both"/>
        <w:rPr>
          <w:rFonts w:ascii="Calibri" w:hAnsi="Calibri"/>
          <w:sz w:val="20"/>
          <w:szCs w:val="20"/>
        </w:rPr>
      </w:pPr>
    </w:p>
    <w:p w:rsidR="003D79BC" w:rsidRPr="00734675" w:rsidRDefault="003D79BC" w:rsidP="003D79BC">
      <w:pPr>
        <w:pStyle w:val="Prrafodelista"/>
        <w:tabs>
          <w:tab w:val="left" w:pos="284"/>
        </w:tabs>
        <w:ind w:left="0"/>
        <w:jc w:val="both"/>
        <w:rPr>
          <w:rFonts w:ascii="Calibri" w:hAnsi="Calibri"/>
          <w:sz w:val="20"/>
          <w:szCs w:val="20"/>
        </w:rPr>
      </w:pPr>
      <w:r w:rsidRPr="00734675">
        <w:rPr>
          <w:rFonts w:ascii="Calibri" w:hAnsi="Calibri"/>
          <w:sz w:val="20"/>
          <w:szCs w:val="20"/>
        </w:rPr>
        <w:t>A continuación se presentan las cuentas de orden contables utilizadas para el registro de bienes en concesión y bienes en comodato.</w:t>
      </w:r>
    </w:p>
    <w:p w:rsidR="003D79BC" w:rsidRPr="00734675" w:rsidRDefault="003D79BC" w:rsidP="003D79BC">
      <w:pPr>
        <w:pStyle w:val="Prrafodelista"/>
        <w:tabs>
          <w:tab w:val="left" w:pos="284"/>
        </w:tabs>
        <w:jc w:val="both"/>
        <w:rPr>
          <w:rFonts w:ascii="Calibri" w:hAnsi="Calibri"/>
          <w:sz w:val="20"/>
          <w:szCs w:val="20"/>
        </w:rPr>
      </w:pPr>
    </w:p>
    <w:p w:rsidR="000A0DE1" w:rsidRPr="00734675" w:rsidRDefault="000A0DE1" w:rsidP="000A0DE1">
      <w:pPr>
        <w:pStyle w:val="Prrafodelista"/>
        <w:tabs>
          <w:tab w:val="left" w:pos="284"/>
        </w:tabs>
        <w:ind w:left="284"/>
        <w:jc w:val="both"/>
        <w:rPr>
          <w:rFonts w:ascii="Calibri" w:hAnsi="Calibri"/>
          <w:sz w:val="20"/>
          <w:szCs w:val="20"/>
        </w:rPr>
      </w:pPr>
    </w:p>
    <w:tbl>
      <w:tblPr>
        <w:tblW w:w="0" w:type="auto"/>
        <w:tblInd w:w="284" w:type="dxa"/>
        <w:tblLook w:val="04A0" w:firstRow="1" w:lastRow="0" w:firstColumn="1" w:lastColumn="0" w:noHBand="0" w:noVBand="1"/>
      </w:tblPr>
      <w:tblGrid>
        <w:gridCol w:w="4549"/>
        <w:gridCol w:w="1608"/>
        <w:gridCol w:w="3057"/>
      </w:tblGrid>
      <w:tr w:rsidR="00683A27" w:rsidRPr="00734675" w:rsidTr="0064489C">
        <w:tc>
          <w:tcPr>
            <w:tcW w:w="4644" w:type="dxa"/>
            <w:shd w:val="clear" w:color="auto" w:fill="auto"/>
          </w:tcPr>
          <w:p w:rsidR="00683A27" w:rsidRPr="00734675" w:rsidRDefault="00683A27" w:rsidP="0064489C">
            <w:pPr>
              <w:pStyle w:val="Prrafodelista"/>
              <w:tabs>
                <w:tab w:val="left" w:pos="284"/>
              </w:tabs>
              <w:ind w:left="0"/>
              <w:jc w:val="both"/>
              <w:rPr>
                <w:rFonts w:ascii="Calibri" w:hAnsi="Calibri"/>
                <w:b/>
                <w:sz w:val="20"/>
                <w:szCs w:val="20"/>
                <w:u w:val="single"/>
              </w:rPr>
            </w:pPr>
            <w:r w:rsidRPr="00734675">
              <w:rPr>
                <w:rFonts w:ascii="Calibri" w:hAnsi="Calibri"/>
                <w:b/>
                <w:sz w:val="20"/>
                <w:szCs w:val="20"/>
                <w:u w:val="single"/>
              </w:rPr>
              <w:t>BIENES EN CONCESIONADO O EN COMODATO</w:t>
            </w:r>
          </w:p>
        </w:tc>
        <w:tc>
          <w:tcPr>
            <w:tcW w:w="1652" w:type="dxa"/>
            <w:shd w:val="clear" w:color="auto" w:fill="auto"/>
          </w:tcPr>
          <w:p w:rsidR="00683A27" w:rsidRPr="00734675"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34675" w:rsidRDefault="00683A27" w:rsidP="0064489C">
            <w:pPr>
              <w:pStyle w:val="Prrafodelista"/>
              <w:tabs>
                <w:tab w:val="left" w:pos="284"/>
              </w:tabs>
              <w:ind w:left="0"/>
              <w:jc w:val="right"/>
              <w:rPr>
                <w:rFonts w:ascii="Calibri" w:hAnsi="Calibri"/>
                <w:sz w:val="20"/>
                <w:szCs w:val="20"/>
              </w:rPr>
            </w:pPr>
          </w:p>
        </w:tc>
      </w:tr>
      <w:tr w:rsidR="00683A27" w:rsidRPr="00734675" w:rsidTr="0064489C">
        <w:tc>
          <w:tcPr>
            <w:tcW w:w="4644" w:type="dxa"/>
            <w:shd w:val="clear" w:color="auto" w:fill="auto"/>
          </w:tcPr>
          <w:p w:rsidR="00683A27" w:rsidRPr="00734675" w:rsidRDefault="00683A27" w:rsidP="0064489C">
            <w:pPr>
              <w:pStyle w:val="Prrafodelista"/>
              <w:tabs>
                <w:tab w:val="left" w:pos="284"/>
              </w:tabs>
              <w:ind w:left="0"/>
              <w:jc w:val="both"/>
              <w:rPr>
                <w:rFonts w:ascii="Calibri" w:hAnsi="Calibri"/>
                <w:sz w:val="20"/>
                <w:szCs w:val="20"/>
              </w:rPr>
            </w:pPr>
            <w:r w:rsidRPr="00734675">
              <w:rPr>
                <w:rFonts w:ascii="Calibri" w:hAnsi="Calibri"/>
                <w:sz w:val="20"/>
                <w:szCs w:val="20"/>
              </w:rPr>
              <w:t>Bienes Bajo contrato en comodato</w:t>
            </w:r>
          </w:p>
        </w:tc>
        <w:tc>
          <w:tcPr>
            <w:tcW w:w="1652" w:type="dxa"/>
            <w:shd w:val="clear" w:color="auto" w:fill="auto"/>
          </w:tcPr>
          <w:p w:rsidR="00683A27" w:rsidRPr="00734675"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34675" w:rsidRDefault="00683A27" w:rsidP="0064489C">
            <w:pPr>
              <w:pStyle w:val="Prrafodelista"/>
              <w:tabs>
                <w:tab w:val="left" w:pos="284"/>
              </w:tabs>
              <w:ind w:left="0"/>
              <w:jc w:val="both"/>
              <w:rPr>
                <w:rFonts w:ascii="Calibri" w:hAnsi="Calibri"/>
                <w:sz w:val="20"/>
                <w:szCs w:val="20"/>
              </w:rPr>
            </w:pPr>
          </w:p>
        </w:tc>
      </w:tr>
      <w:tr w:rsidR="00683A27" w:rsidRPr="00734675" w:rsidTr="0064489C">
        <w:tc>
          <w:tcPr>
            <w:tcW w:w="4644" w:type="dxa"/>
            <w:shd w:val="clear" w:color="auto" w:fill="auto"/>
          </w:tcPr>
          <w:p w:rsidR="00683A27" w:rsidRPr="00734675" w:rsidRDefault="00683A27" w:rsidP="0064489C">
            <w:pPr>
              <w:pStyle w:val="Prrafodelista"/>
              <w:tabs>
                <w:tab w:val="left" w:pos="284"/>
              </w:tabs>
              <w:ind w:left="0"/>
              <w:jc w:val="right"/>
              <w:rPr>
                <w:rFonts w:ascii="Calibri" w:hAnsi="Calibri"/>
                <w:i/>
                <w:sz w:val="20"/>
                <w:szCs w:val="20"/>
              </w:rPr>
            </w:pPr>
            <w:r w:rsidRPr="00734675">
              <w:rPr>
                <w:rFonts w:ascii="Calibri" w:hAnsi="Calibri"/>
                <w:i/>
                <w:sz w:val="20"/>
                <w:szCs w:val="20"/>
              </w:rPr>
              <w:t>Secretaría de Administración y Finanzas</w:t>
            </w:r>
          </w:p>
        </w:tc>
        <w:tc>
          <w:tcPr>
            <w:tcW w:w="1652" w:type="dxa"/>
            <w:shd w:val="clear" w:color="auto" w:fill="auto"/>
          </w:tcPr>
          <w:p w:rsidR="00683A27" w:rsidRPr="00734675"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34675" w:rsidRDefault="00683A27" w:rsidP="00EA2BBF">
            <w:pPr>
              <w:pStyle w:val="Prrafodelista"/>
              <w:tabs>
                <w:tab w:val="left" w:pos="284"/>
              </w:tabs>
              <w:ind w:left="0"/>
              <w:jc w:val="right"/>
              <w:rPr>
                <w:rFonts w:ascii="Calibri" w:hAnsi="Calibri"/>
                <w:sz w:val="20"/>
                <w:szCs w:val="20"/>
              </w:rPr>
            </w:pPr>
            <w:r w:rsidRPr="00734675">
              <w:rPr>
                <w:rFonts w:ascii="Calibri" w:hAnsi="Calibri"/>
                <w:sz w:val="20"/>
                <w:szCs w:val="20"/>
              </w:rPr>
              <w:t>$</w:t>
            </w:r>
            <w:r w:rsidR="00EA2BBF" w:rsidRPr="00734675">
              <w:rPr>
                <w:rFonts w:ascii="Calibri" w:hAnsi="Calibri"/>
                <w:sz w:val="20"/>
                <w:szCs w:val="20"/>
              </w:rPr>
              <w:t>3</w:t>
            </w:r>
            <w:r w:rsidRPr="00734675">
              <w:rPr>
                <w:rFonts w:ascii="Calibri" w:hAnsi="Calibri"/>
                <w:sz w:val="20"/>
                <w:szCs w:val="20"/>
              </w:rPr>
              <w:t>.00</w:t>
            </w:r>
          </w:p>
        </w:tc>
      </w:tr>
      <w:tr w:rsidR="00683A27" w:rsidRPr="00734675" w:rsidTr="0064489C">
        <w:tc>
          <w:tcPr>
            <w:tcW w:w="4644" w:type="dxa"/>
            <w:shd w:val="clear" w:color="auto" w:fill="auto"/>
          </w:tcPr>
          <w:p w:rsidR="00683A27" w:rsidRPr="00734675" w:rsidRDefault="00683A27" w:rsidP="0064489C">
            <w:pPr>
              <w:pStyle w:val="Prrafodelista"/>
              <w:tabs>
                <w:tab w:val="left" w:pos="284"/>
              </w:tabs>
              <w:ind w:left="0"/>
              <w:jc w:val="right"/>
              <w:rPr>
                <w:rFonts w:ascii="Calibri" w:hAnsi="Calibri"/>
                <w:i/>
                <w:sz w:val="20"/>
                <w:szCs w:val="20"/>
              </w:rPr>
            </w:pPr>
          </w:p>
        </w:tc>
        <w:tc>
          <w:tcPr>
            <w:tcW w:w="1652" w:type="dxa"/>
            <w:shd w:val="clear" w:color="auto" w:fill="auto"/>
          </w:tcPr>
          <w:p w:rsidR="00683A27" w:rsidRPr="00734675"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34675" w:rsidRDefault="00683A27" w:rsidP="0064489C">
            <w:pPr>
              <w:pStyle w:val="Prrafodelista"/>
              <w:tabs>
                <w:tab w:val="left" w:pos="284"/>
              </w:tabs>
              <w:ind w:left="0"/>
              <w:jc w:val="right"/>
              <w:rPr>
                <w:rFonts w:ascii="Calibri" w:hAnsi="Calibri"/>
                <w:sz w:val="20"/>
                <w:szCs w:val="20"/>
              </w:rPr>
            </w:pPr>
          </w:p>
        </w:tc>
      </w:tr>
    </w:tbl>
    <w:p w:rsidR="000A0DE1" w:rsidRPr="00734675" w:rsidRDefault="000A0DE1" w:rsidP="000A0DE1">
      <w:pPr>
        <w:pStyle w:val="Prrafodelista"/>
        <w:tabs>
          <w:tab w:val="left" w:pos="284"/>
        </w:tabs>
        <w:ind w:left="284"/>
        <w:jc w:val="both"/>
        <w:rPr>
          <w:rFonts w:ascii="Calibri" w:hAnsi="Calibri"/>
          <w:sz w:val="20"/>
          <w:szCs w:val="20"/>
        </w:rPr>
      </w:pPr>
    </w:p>
    <w:p w:rsidR="005E50C6" w:rsidRPr="00734675" w:rsidRDefault="005E50C6" w:rsidP="000A0DE1">
      <w:pPr>
        <w:pStyle w:val="Prrafodelista"/>
        <w:tabs>
          <w:tab w:val="left" w:pos="284"/>
        </w:tabs>
        <w:ind w:left="284"/>
        <w:jc w:val="both"/>
        <w:rPr>
          <w:rFonts w:ascii="Calibri" w:hAnsi="Calibri"/>
          <w:sz w:val="20"/>
          <w:szCs w:val="20"/>
        </w:rPr>
      </w:pPr>
    </w:p>
    <w:p w:rsidR="00B40978" w:rsidRPr="00734675" w:rsidRDefault="00B40978" w:rsidP="00B40978">
      <w:pPr>
        <w:pStyle w:val="Prrafodelista"/>
        <w:numPr>
          <w:ilvl w:val="0"/>
          <w:numId w:val="13"/>
        </w:numPr>
        <w:tabs>
          <w:tab w:val="left" w:pos="284"/>
        </w:tabs>
        <w:ind w:left="284" w:hanging="284"/>
        <w:jc w:val="both"/>
        <w:rPr>
          <w:rFonts w:ascii="Calibri" w:hAnsi="Calibri"/>
          <w:sz w:val="20"/>
          <w:szCs w:val="20"/>
        </w:rPr>
      </w:pPr>
      <w:r w:rsidRPr="00734675">
        <w:rPr>
          <w:rFonts w:ascii="Calibri" w:hAnsi="Calibri"/>
          <w:sz w:val="20"/>
          <w:szCs w:val="20"/>
        </w:rPr>
        <w:t xml:space="preserve">A continuación se detallan las cuentas de orden presupuestarias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xml:space="preserve"> :</w:t>
      </w:r>
    </w:p>
    <w:p w:rsidR="003D52EE" w:rsidRPr="00734675" w:rsidRDefault="003D52EE" w:rsidP="00A47351">
      <w:pPr>
        <w:jc w:val="both"/>
        <w:rPr>
          <w:rFonts w:ascii="Calibri" w:hAnsi="Calibri"/>
          <w:sz w:val="20"/>
          <w:szCs w:val="20"/>
        </w:rPr>
      </w:pPr>
    </w:p>
    <w:p w:rsidR="00E623D5" w:rsidRPr="00734675" w:rsidRDefault="00E623D5" w:rsidP="00A47351">
      <w:pPr>
        <w:jc w:val="both"/>
        <w:rPr>
          <w:rFonts w:ascii="Calibri" w:hAnsi="Calibri"/>
          <w:sz w:val="20"/>
          <w:szCs w:val="20"/>
        </w:rPr>
      </w:pPr>
    </w:p>
    <w:p w:rsidR="00E623D5" w:rsidRPr="00734675" w:rsidRDefault="00315C4A" w:rsidP="001B2940">
      <w:pPr>
        <w:jc w:val="center"/>
        <w:rPr>
          <w:rFonts w:ascii="Calibri" w:hAnsi="Calibri"/>
          <w:sz w:val="20"/>
          <w:szCs w:val="20"/>
        </w:rPr>
      </w:pPr>
      <w:r w:rsidRPr="00734675">
        <w:rPr>
          <w:noProof/>
          <w:lang w:eastAsia="es-MX"/>
        </w:rPr>
        <w:drawing>
          <wp:inline distT="0" distB="0" distL="0" distR="0">
            <wp:extent cx="6031230" cy="1528153"/>
            <wp:effectExtent l="0" t="0" r="762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1230" cy="1528153"/>
                    </a:xfrm>
                    <a:prstGeom prst="rect">
                      <a:avLst/>
                    </a:prstGeom>
                    <a:noFill/>
                    <a:ln>
                      <a:noFill/>
                    </a:ln>
                  </pic:spPr>
                </pic:pic>
              </a:graphicData>
            </a:graphic>
          </wp:inline>
        </w:drawing>
      </w:r>
    </w:p>
    <w:p w:rsidR="00E623D5" w:rsidRPr="00734675" w:rsidRDefault="00E623D5" w:rsidP="00A47351">
      <w:pPr>
        <w:jc w:val="both"/>
        <w:rPr>
          <w:rFonts w:ascii="Calibri" w:hAnsi="Calibri"/>
          <w:sz w:val="20"/>
          <w:szCs w:val="20"/>
        </w:rPr>
      </w:pPr>
    </w:p>
    <w:p w:rsidR="00A47351" w:rsidRPr="00734675" w:rsidRDefault="00A47351" w:rsidP="00A47351">
      <w:pPr>
        <w:pStyle w:val="Prrafodelista"/>
        <w:numPr>
          <w:ilvl w:val="0"/>
          <w:numId w:val="15"/>
        </w:numPr>
        <w:tabs>
          <w:tab w:val="left" w:pos="0"/>
          <w:tab w:val="left" w:pos="426"/>
        </w:tabs>
        <w:ind w:left="0" w:firstLine="0"/>
        <w:rPr>
          <w:rFonts w:ascii="Calibri" w:hAnsi="Calibri"/>
          <w:b/>
          <w:sz w:val="20"/>
          <w:szCs w:val="20"/>
        </w:rPr>
      </w:pPr>
      <w:r w:rsidRPr="00734675">
        <w:rPr>
          <w:rFonts w:ascii="Calibri" w:hAnsi="Calibri"/>
          <w:b/>
          <w:sz w:val="20"/>
          <w:szCs w:val="20"/>
        </w:rPr>
        <w:t>NOTAS DE GESTIÓN ADMINISTRATIVA.</w:t>
      </w:r>
    </w:p>
    <w:p w:rsidR="00A47351" w:rsidRPr="00734675" w:rsidRDefault="00A47351" w:rsidP="00A47351">
      <w:pPr>
        <w:tabs>
          <w:tab w:val="left" w:pos="426"/>
        </w:tabs>
        <w:ind w:left="360"/>
        <w:rPr>
          <w:rFonts w:ascii="Calibri" w:hAnsi="Calibri"/>
          <w:b/>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Introducción.</w:t>
      </w:r>
    </w:p>
    <w:p w:rsidR="00A47351" w:rsidRPr="00734675" w:rsidRDefault="00A47351" w:rsidP="00A47351">
      <w:pPr>
        <w:tabs>
          <w:tab w:val="left" w:pos="426"/>
        </w:tabs>
        <w:rPr>
          <w:rFonts w:ascii="Calibri" w:hAnsi="Calibri"/>
          <w:sz w:val="20"/>
          <w:szCs w:val="20"/>
        </w:rPr>
      </w:pPr>
    </w:p>
    <w:p w:rsidR="00A47351" w:rsidRPr="00734675" w:rsidRDefault="00A47351" w:rsidP="00A47351">
      <w:pPr>
        <w:tabs>
          <w:tab w:val="left" w:pos="426"/>
        </w:tabs>
        <w:jc w:val="both"/>
        <w:rPr>
          <w:rFonts w:ascii="Calibri" w:hAnsi="Calibri"/>
          <w:sz w:val="20"/>
          <w:szCs w:val="20"/>
        </w:rPr>
      </w:pPr>
      <w:r w:rsidRPr="00734675">
        <w:rPr>
          <w:rFonts w:ascii="Calibri" w:hAnsi="Calibri"/>
          <w:sz w:val="20"/>
          <w:szCs w:val="20"/>
        </w:rPr>
        <w:t>Los Estados Financieros del Fideicomiso Garante de la Orquesta Sinfónica de Yucatán, proveen de información financiera a los principales usuarios, al H. Congreso del Estado de Yucatán y a los ciudadanos.</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tabs>
          <w:tab w:val="left" w:pos="426"/>
        </w:tabs>
        <w:jc w:val="both"/>
        <w:rPr>
          <w:rFonts w:ascii="Calibri" w:hAnsi="Calibri"/>
          <w:sz w:val="20"/>
          <w:szCs w:val="20"/>
        </w:rPr>
      </w:pPr>
      <w:r w:rsidRPr="00734675">
        <w:rPr>
          <w:rFonts w:ascii="Calibri" w:hAnsi="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tabs>
          <w:tab w:val="left" w:pos="426"/>
        </w:tabs>
        <w:jc w:val="both"/>
        <w:rPr>
          <w:rFonts w:ascii="Calibri" w:hAnsi="Calibri"/>
          <w:sz w:val="20"/>
          <w:szCs w:val="20"/>
        </w:rPr>
      </w:pPr>
      <w:r w:rsidRPr="00734675">
        <w:rPr>
          <w:rFonts w:ascii="Calibri" w:hAnsi="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Panorama Económico y Financiero.</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El Gobierno del Estado de Yucatán ha establecido garantizar que las personas y comunidades tengan acceso a la cultura para el disfrute de sus componentes en condiciones de igualdad, dignidad humana y no discriminación. Esta política se ha establecido en el Plan Estatal de Desarrollo de 2018-2024 del Gobierno del Estado de Yucatán, identificado en el Eje 3 “Yucatán Cultural con Identidad para el Desarrollo”; para tal efecto, se crea el programa presupuestario 462 “Fomento a la creación y manifestación artística”, con el fin de incrementar las creaciones artísticas a través del apoyo a los artistas y creadores mediante el adecuado desarrollo de iniciativas culturales; con el propósito de que artistas y creadores de 15 años en adelante desarrollen adecuadamente sus iniciativas culturales.</w:t>
      </w:r>
    </w:p>
    <w:p w:rsidR="00A47351" w:rsidRPr="00734675" w:rsidRDefault="00A47351" w:rsidP="00A47351">
      <w:pPr>
        <w:tabs>
          <w:tab w:val="left" w:pos="426"/>
        </w:tabs>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Autorización e Historia.</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lastRenderedPageBreak/>
        <w:t>Cabe señalar que el Fideicomiso Garante de la Orquesta Sinfónica de Yucatán inició operaciones en el mes de Abril de 2009.</w:t>
      </w:r>
    </w:p>
    <w:p w:rsidR="00A47351" w:rsidRPr="00734675" w:rsidRDefault="00A47351" w:rsidP="00A47351">
      <w:pPr>
        <w:autoSpaceDE w:val="0"/>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Organización y Objetivo Social.</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objeto principal del FIGAROSY, es la administración e inversión de los recursos para la difusión, preservación, impulso y permanencia de la Orquesta Sinfónica de Yucatán, con una duración de treinta años.</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Como parte de estos fines, se establece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FIGAROSY, inicia su ejercicio fiscal el día 1 de Enero y lo cierra el día 31 de Diciembre de cada año.</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FIGAROSY está regulado por:</w:t>
      </w:r>
    </w:p>
    <w:p w:rsidR="00A47351" w:rsidRPr="00734675" w:rsidRDefault="00A47351" w:rsidP="00A47351">
      <w:pPr>
        <w:autoSpaceDE w:val="0"/>
        <w:jc w:val="both"/>
        <w:rPr>
          <w:rFonts w:ascii="Calibri" w:hAnsi="Calibri"/>
          <w:sz w:val="20"/>
          <w:szCs w:val="20"/>
        </w:rPr>
      </w:pP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Decreto de creación del Fideicomiso Garante de la Orquesta Sinfónica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Decreto de modificación del Fideicomiso Garante de la Orquesta Sinfónica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Constitución Política de los Estados Unidos Mexicanos.</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Constitución Política del Estado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Código de Administración Pública del Estado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Reglamento del Código de la Administración Pública del Estado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Ley del Presupuesto y Contabilidad Gubernamental del Estado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Ley General de Contabilidad Gubernamental.</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Ley de Disciplina Financiera de las Entidades Federativas y los Municipios</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Ley de Responsabilidades de los Servidores Públicos del Estado de Yucatán.</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 xml:space="preserve">Ley de Adquisiciones, Arrendamientos, y Prestaciones de Servicios Relacionados con Bienes Muebles. </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Ley General de Transparencia y Acceso a la Información Pública.</w:t>
      </w:r>
    </w:p>
    <w:p w:rsidR="00A47351" w:rsidRPr="00734675"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34675">
        <w:rPr>
          <w:rFonts w:ascii="Calibri" w:hAnsi="Calibri"/>
          <w:sz w:val="20"/>
          <w:szCs w:val="20"/>
        </w:rPr>
        <w:t xml:space="preserve">Estatuto Orgánico del Fideicomiso Garante de la Orquesta Sinfónica de Yucatán. </w:t>
      </w:r>
    </w:p>
    <w:p w:rsidR="00A47351" w:rsidRPr="00734675" w:rsidRDefault="00A47351" w:rsidP="00A47351">
      <w:pPr>
        <w:autoSpaceDE w:val="0"/>
        <w:jc w:val="both"/>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FIGAROSY es una Persona Moral sin Fines de Lucro, conforme a los artículos 79 y 86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A47351" w:rsidRPr="00734675" w:rsidRDefault="00A47351" w:rsidP="00A47351">
      <w:pPr>
        <w:jc w:val="both"/>
        <w:rPr>
          <w:rFonts w:ascii="Calibri" w:hAnsi="Calibri" w:cs="Arial"/>
          <w:bCs/>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Para dar cumplimiento a los fines para los que fue creado, el FIGAROSY cuenta con los siguientes órganos y unidades administrativas:</w:t>
      </w:r>
    </w:p>
    <w:p w:rsidR="00A47351" w:rsidRPr="00734675" w:rsidRDefault="00A47351" w:rsidP="00A47351">
      <w:pPr>
        <w:jc w:val="both"/>
        <w:rPr>
          <w:rFonts w:ascii="Calibri" w:hAnsi="Calibri"/>
          <w:sz w:val="20"/>
          <w:szCs w:val="20"/>
        </w:rPr>
      </w:pPr>
    </w:p>
    <w:p w:rsidR="00A47351" w:rsidRPr="00734675" w:rsidRDefault="00A47351" w:rsidP="00A47351">
      <w:pPr>
        <w:pStyle w:val="Prrafodelista"/>
        <w:numPr>
          <w:ilvl w:val="0"/>
          <w:numId w:val="1"/>
        </w:numPr>
        <w:tabs>
          <w:tab w:val="left" w:pos="284"/>
        </w:tabs>
        <w:ind w:hanging="720"/>
        <w:jc w:val="both"/>
        <w:rPr>
          <w:rFonts w:ascii="Calibri" w:hAnsi="Calibri"/>
          <w:sz w:val="20"/>
          <w:szCs w:val="20"/>
        </w:rPr>
      </w:pPr>
      <w:r w:rsidRPr="00734675">
        <w:rPr>
          <w:rFonts w:ascii="Calibri" w:hAnsi="Calibri"/>
          <w:sz w:val="20"/>
          <w:szCs w:val="20"/>
        </w:rPr>
        <w:t>De Gobierno: Comité Técnico.</w:t>
      </w:r>
    </w:p>
    <w:p w:rsidR="00A47351" w:rsidRPr="00734675" w:rsidRDefault="00A47351" w:rsidP="00A47351">
      <w:pPr>
        <w:pStyle w:val="Prrafodelista"/>
        <w:numPr>
          <w:ilvl w:val="0"/>
          <w:numId w:val="1"/>
        </w:numPr>
        <w:tabs>
          <w:tab w:val="left" w:pos="284"/>
        </w:tabs>
        <w:ind w:left="0" w:firstLine="0"/>
        <w:jc w:val="both"/>
        <w:rPr>
          <w:rFonts w:ascii="Calibri" w:hAnsi="Calibri"/>
          <w:sz w:val="20"/>
          <w:szCs w:val="20"/>
        </w:rPr>
      </w:pPr>
      <w:r w:rsidRPr="00734675">
        <w:rPr>
          <w:rFonts w:ascii="Calibri" w:hAnsi="Calibri"/>
          <w:sz w:val="20"/>
          <w:szCs w:val="20"/>
        </w:rPr>
        <w:t xml:space="preserve">De Administración: - Dirección General, </w:t>
      </w:r>
    </w:p>
    <w:p w:rsidR="00A47351" w:rsidRPr="00734675" w:rsidRDefault="00A47351" w:rsidP="00A47351">
      <w:pPr>
        <w:pStyle w:val="Prrafodelista"/>
        <w:numPr>
          <w:ilvl w:val="0"/>
          <w:numId w:val="11"/>
        </w:numPr>
        <w:tabs>
          <w:tab w:val="left" w:pos="284"/>
        </w:tabs>
        <w:ind w:left="1985" w:firstLine="0"/>
        <w:jc w:val="both"/>
        <w:rPr>
          <w:rFonts w:ascii="Calibri" w:hAnsi="Calibri"/>
          <w:sz w:val="20"/>
          <w:szCs w:val="20"/>
        </w:rPr>
      </w:pPr>
      <w:r w:rsidRPr="00734675">
        <w:rPr>
          <w:rFonts w:ascii="Calibri" w:hAnsi="Calibri"/>
          <w:sz w:val="20"/>
          <w:szCs w:val="20"/>
        </w:rPr>
        <w:t xml:space="preserve">Dirección de Administración y Finanzas, </w:t>
      </w:r>
    </w:p>
    <w:p w:rsidR="00A47351" w:rsidRPr="00734675" w:rsidRDefault="00A47351" w:rsidP="00A47351">
      <w:pPr>
        <w:pStyle w:val="Prrafodelista"/>
        <w:numPr>
          <w:ilvl w:val="0"/>
          <w:numId w:val="11"/>
        </w:numPr>
        <w:tabs>
          <w:tab w:val="left" w:pos="284"/>
        </w:tabs>
        <w:ind w:left="1985" w:firstLine="0"/>
        <w:jc w:val="both"/>
        <w:rPr>
          <w:rFonts w:ascii="Calibri" w:hAnsi="Calibri"/>
          <w:sz w:val="20"/>
          <w:szCs w:val="20"/>
        </w:rPr>
      </w:pPr>
      <w:r w:rsidRPr="00734675">
        <w:rPr>
          <w:rFonts w:ascii="Calibri" w:hAnsi="Calibri"/>
          <w:sz w:val="20"/>
          <w:szCs w:val="20"/>
        </w:rPr>
        <w:t xml:space="preserve">Dirección Artística, </w:t>
      </w:r>
    </w:p>
    <w:p w:rsidR="00A47351" w:rsidRPr="00734675" w:rsidRDefault="00A47351" w:rsidP="00A47351">
      <w:pPr>
        <w:pStyle w:val="Prrafodelista"/>
        <w:numPr>
          <w:ilvl w:val="0"/>
          <w:numId w:val="11"/>
        </w:numPr>
        <w:tabs>
          <w:tab w:val="left" w:pos="284"/>
        </w:tabs>
        <w:ind w:left="1985" w:firstLine="0"/>
        <w:jc w:val="both"/>
        <w:rPr>
          <w:rFonts w:ascii="Calibri" w:hAnsi="Calibri"/>
          <w:sz w:val="20"/>
          <w:szCs w:val="20"/>
        </w:rPr>
      </w:pPr>
      <w:r w:rsidRPr="00734675">
        <w:rPr>
          <w:rFonts w:ascii="Calibri" w:hAnsi="Calibri"/>
          <w:sz w:val="20"/>
          <w:szCs w:val="20"/>
        </w:rPr>
        <w:t>Dirección de Producción y Operación Artística.</w:t>
      </w:r>
    </w:p>
    <w:p w:rsidR="00A47351" w:rsidRPr="00734675" w:rsidRDefault="00A47351" w:rsidP="00A47351">
      <w:pPr>
        <w:pStyle w:val="Prrafodelista"/>
        <w:numPr>
          <w:ilvl w:val="0"/>
          <w:numId w:val="11"/>
        </w:numPr>
        <w:tabs>
          <w:tab w:val="left" w:pos="284"/>
        </w:tabs>
        <w:ind w:left="1985" w:firstLine="0"/>
        <w:jc w:val="both"/>
        <w:rPr>
          <w:rFonts w:ascii="Calibri" w:hAnsi="Calibri"/>
          <w:sz w:val="20"/>
          <w:szCs w:val="20"/>
        </w:rPr>
      </w:pPr>
      <w:r w:rsidRPr="00734675">
        <w:rPr>
          <w:rFonts w:ascii="Calibri" w:hAnsi="Calibri"/>
          <w:sz w:val="20"/>
          <w:szCs w:val="20"/>
        </w:rPr>
        <w:t xml:space="preserve">Dirección de Comunicación y Medios, </w:t>
      </w:r>
    </w:p>
    <w:p w:rsidR="00A47351" w:rsidRPr="00734675" w:rsidRDefault="00A47351" w:rsidP="00A47351">
      <w:pPr>
        <w:tabs>
          <w:tab w:val="left" w:pos="284"/>
        </w:tabs>
        <w:ind w:left="2127" w:hanging="142"/>
        <w:jc w:val="both"/>
        <w:rPr>
          <w:rFonts w:ascii="Calibri" w:hAnsi="Calibri"/>
          <w:sz w:val="20"/>
          <w:szCs w:val="20"/>
        </w:rPr>
      </w:pPr>
      <w:r w:rsidRPr="00734675">
        <w:rPr>
          <w:rFonts w:ascii="Calibri" w:hAnsi="Calibri"/>
          <w:sz w:val="20"/>
          <w:szCs w:val="20"/>
        </w:rPr>
        <w:t>-  Dirección de Asuntos y Servicios Jurídicos.</w:t>
      </w: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c) De Vigilancia: Secretaría de la Contraloría General,</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El Comité Técnico está conformado de la siguiente manera:</w:t>
      </w:r>
    </w:p>
    <w:p w:rsidR="00A47351" w:rsidRPr="00734675" w:rsidRDefault="00A47351" w:rsidP="00A47351">
      <w:pPr>
        <w:tabs>
          <w:tab w:val="left" w:pos="284"/>
          <w:tab w:val="left" w:pos="567"/>
        </w:tabs>
        <w:ind w:left="142"/>
        <w:jc w:val="both"/>
        <w:rPr>
          <w:rFonts w:ascii="Calibri" w:hAnsi="Calibri"/>
          <w:sz w:val="20"/>
          <w:szCs w:val="20"/>
        </w:rPr>
      </w:pP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Un Presidente que es el Gobernador del Estado;</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El Secretario General de Gobierno, quien suple las ausencias del Presidente del Comité Técnico;</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El Secretario de Administración y Finanzas;</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lastRenderedPageBreak/>
        <w:t>El Secretario de Educación;</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El Secretario de Cultura y Artes de Yucatán;</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El Presidente del Patronato para la Orquesta Sinfónica de Yucatán A.C.;</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El Vicepresidente del Patronato para la Orquesta Sinfónica de Yucatán, A.C.:</w:t>
      </w:r>
    </w:p>
    <w:p w:rsidR="00A47351" w:rsidRPr="00734675"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34675">
        <w:rPr>
          <w:rFonts w:ascii="Calibri" w:hAnsi="Calibri"/>
          <w:sz w:val="20"/>
          <w:szCs w:val="20"/>
        </w:rPr>
        <w:t>Tres representantes de la sociedad civil propuesto por el Patronato para la Orquesta Sinfónica de Yucatán, A.C.</w:t>
      </w:r>
    </w:p>
    <w:p w:rsidR="00A47351" w:rsidRPr="00734675" w:rsidRDefault="00A47351" w:rsidP="00A47351">
      <w:pPr>
        <w:pStyle w:val="Prrafodelista"/>
        <w:tabs>
          <w:tab w:val="left" w:pos="284"/>
          <w:tab w:val="left" w:pos="567"/>
        </w:tabs>
        <w:ind w:left="142"/>
        <w:jc w:val="both"/>
        <w:rPr>
          <w:rFonts w:ascii="Calibri" w:hAnsi="Calibri"/>
          <w:sz w:val="20"/>
          <w:szCs w:val="20"/>
        </w:rPr>
      </w:pPr>
    </w:p>
    <w:p w:rsidR="00A47351" w:rsidRPr="00734675" w:rsidRDefault="00A47351" w:rsidP="00A47351">
      <w:pPr>
        <w:pStyle w:val="Prrafodelista"/>
        <w:tabs>
          <w:tab w:val="left" w:pos="284"/>
          <w:tab w:val="left" w:pos="567"/>
        </w:tabs>
        <w:ind w:left="142"/>
        <w:jc w:val="both"/>
        <w:rPr>
          <w:rFonts w:ascii="Calibri" w:hAnsi="Calibri"/>
          <w:sz w:val="20"/>
          <w:szCs w:val="20"/>
        </w:rPr>
      </w:pPr>
      <w:r w:rsidRPr="00734675">
        <w:rPr>
          <w:rFonts w:ascii="Calibri" w:hAnsi="Calibri"/>
          <w:sz w:val="20"/>
          <w:szCs w:val="20"/>
        </w:rPr>
        <w:t xml:space="preserve">Lo anterior con fundamento al artículo 609 del Reglamento al Código del Código de la Administración Pública del Estado de Yucatán.   </w:t>
      </w:r>
    </w:p>
    <w:p w:rsidR="00A47351" w:rsidRPr="00734675" w:rsidRDefault="00A47351" w:rsidP="00A47351">
      <w:pPr>
        <w:pStyle w:val="Prrafodelista"/>
        <w:tabs>
          <w:tab w:val="left" w:pos="284"/>
          <w:tab w:val="left" w:pos="567"/>
        </w:tabs>
        <w:ind w:left="142"/>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Bases de preparación de los Estados Financieros.</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Postulados básicos de la Contabilidad Gubernamental aprobados por la CONAC:</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Sustancia Económica.</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Entes Públicos.</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Existencia Permanente.</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Revelación Suficiente.</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Importancia Relativa.</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Registro e Integración Presupuestaria.</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Consolidación de la Información Financiera.</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Devengo Contable.</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Valuación.</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Dualidad Económica.</w:t>
      </w:r>
    </w:p>
    <w:p w:rsidR="00A47351" w:rsidRPr="00734675" w:rsidRDefault="00A47351" w:rsidP="00A47351">
      <w:pPr>
        <w:pStyle w:val="Prrafodelista"/>
        <w:numPr>
          <w:ilvl w:val="0"/>
          <w:numId w:val="4"/>
        </w:numPr>
        <w:tabs>
          <w:tab w:val="left" w:pos="284"/>
        </w:tabs>
        <w:ind w:left="0" w:firstLine="0"/>
        <w:jc w:val="both"/>
        <w:rPr>
          <w:rFonts w:ascii="Calibri" w:hAnsi="Calibri"/>
          <w:sz w:val="20"/>
          <w:szCs w:val="20"/>
        </w:rPr>
      </w:pPr>
      <w:r w:rsidRPr="00734675">
        <w:rPr>
          <w:rFonts w:ascii="Calibri" w:hAnsi="Calibri"/>
          <w:sz w:val="20"/>
          <w:szCs w:val="20"/>
        </w:rPr>
        <w:t>Consistencia.</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tabs>
          <w:tab w:val="left" w:pos="284"/>
        </w:tabs>
        <w:ind w:left="0"/>
        <w:jc w:val="both"/>
        <w:rPr>
          <w:rFonts w:ascii="Calibri" w:hAnsi="Calibri"/>
          <w:sz w:val="20"/>
          <w:szCs w:val="20"/>
        </w:rPr>
      </w:pPr>
      <w:r w:rsidRPr="00734675">
        <w:rPr>
          <w:rFonts w:ascii="Calibri" w:hAnsi="Calibri"/>
          <w:sz w:val="20"/>
          <w:szCs w:val="20"/>
        </w:rPr>
        <w:t>En forma supletoria  a las Normas de la Ley General de Contabilidad Gubernamental y a las emitidas por la CONAC se aplicarán las siguientes:</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numPr>
          <w:ilvl w:val="0"/>
          <w:numId w:val="5"/>
        </w:numPr>
        <w:tabs>
          <w:tab w:val="left" w:pos="284"/>
        </w:tabs>
        <w:ind w:left="284" w:hanging="284"/>
        <w:jc w:val="both"/>
        <w:rPr>
          <w:rFonts w:ascii="Calibri" w:hAnsi="Calibri"/>
          <w:sz w:val="20"/>
          <w:szCs w:val="20"/>
        </w:rPr>
      </w:pPr>
      <w:r w:rsidRPr="00734675">
        <w:rPr>
          <w:rFonts w:ascii="Calibri" w:hAnsi="Calibri"/>
          <w:sz w:val="20"/>
          <w:szCs w:val="20"/>
        </w:rPr>
        <w:t>Normatividad emitidas por las unidades administrativas o instancias competentes en materia de Contabilidad Gubernamental.</w:t>
      </w:r>
    </w:p>
    <w:p w:rsidR="00A47351" w:rsidRPr="00734675" w:rsidRDefault="00A47351" w:rsidP="00A47351">
      <w:pPr>
        <w:pStyle w:val="Prrafodelista"/>
        <w:numPr>
          <w:ilvl w:val="0"/>
          <w:numId w:val="5"/>
        </w:numPr>
        <w:tabs>
          <w:tab w:val="left" w:pos="284"/>
        </w:tabs>
        <w:ind w:left="284" w:hanging="284"/>
        <w:jc w:val="both"/>
        <w:rPr>
          <w:rFonts w:ascii="Calibri" w:hAnsi="Calibri"/>
          <w:sz w:val="20"/>
          <w:szCs w:val="20"/>
        </w:rPr>
      </w:pPr>
      <w:r w:rsidRPr="00734675">
        <w:rPr>
          <w:rFonts w:ascii="Calibri" w:hAnsi="Calibri"/>
          <w:sz w:val="20"/>
          <w:szCs w:val="20"/>
        </w:rPr>
        <w:t>Las Normas Internacionales de Contabilidad para el sector público (NICSP) emitidas por la Junta de Normas Internacionales de Contabilidad del Sector Público.</w:t>
      </w:r>
    </w:p>
    <w:p w:rsidR="00A47351" w:rsidRPr="00734675" w:rsidRDefault="00A47351" w:rsidP="00A47351">
      <w:pPr>
        <w:pStyle w:val="Prrafodelista"/>
        <w:numPr>
          <w:ilvl w:val="0"/>
          <w:numId w:val="5"/>
        </w:numPr>
        <w:tabs>
          <w:tab w:val="left" w:pos="284"/>
        </w:tabs>
        <w:ind w:left="284" w:hanging="284"/>
        <w:jc w:val="both"/>
        <w:rPr>
          <w:rFonts w:ascii="Calibri" w:hAnsi="Calibri"/>
          <w:sz w:val="20"/>
          <w:szCs w:val="20"/>
        </w:rPr>
      </w:pPr>
      <w:r w:rsidRPr="00734675">
        <w:rPr>
          <w:rFonts w:ascii="Calibri" w:hAnsi="Calibri"/>
          <w:sz w:val="20"/>
          <w:szCs w:val="20"/>
        </w:rPr>
        <w:t>Las Normas de Información Financiera del Consejo Mexicano para la Investigación y Desarrollo de Normas de Información Financiera A.C. (CINIF).</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Políticas Contables Significativas.</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 xml:space="preserve">En el mes de Enero de 2015, el FIGAROSY implemento el software denominado “Saacg,net” que es desarrollado por el Instituto para el Desarrollo Técnico de las Hacienda Públicas, para el registrar las transacciones que identifican los </w:t>
      </w:r>
      <w:r w:rsidRPr="00734675">
        <w:rPr>
          <w:rFonts w:ascii="Calibri" w:hAnsi="Calibri"/>
          <w:sz w:val="20"/>
          <w:szCs w:val="20"/>
        </w:rPr>
        <w:lastRenderedPageBreak/>
        <w:t xml:space="preserve">momentos contables de las partidas de ingresos y egresos, conforme a lo establecido por la Ley General de Contabilidad Gubernamental. </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 xml:space="preserve">Las principales políticas contables seguidas por el FIGAROSY, son las siguientes: </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A47351" w:rsidRPr="00734675" w:rsidRDefault="00A47351" w:rsidP="00A47351">
      <w:pPr>
        <w:pStyle w:val="Prrafodelista"/>
        <w:tabs>
          <w:tab w:val="left" w:pos="284"/>
        </w:tabs>
        <w:ind w:left="284"/>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Cuentas por cobrar. El registro de las cuentas por cobrar se hace en el momento de devengarse el ingreso y expedirse el comprobante correspondiente, a un plazo menor o igual a doce meses.</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Estimación para cuentas incobrables. Se registrarán las cuentas por cobrar aquellas con características de incobrabilidad de las cuales deberán ser menores a doce meses, afectando a resultados del ejercicio que se aplique.</w:t>
      </w:r>
    </w:p>
    <w:p w:rsidR="00A47351" w:rsidRPr="00734675" w:rsidRDefault="00A47351" w:rsidP="00A47351">
      <w:pPr>
        <w:pStyle w:val="Prrafodelista"/>
        <w:tabs>
          <w:tab w:val="left" w:pos="284"/>
        </w:tabs>
        <w:ind w:left="284"/>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Almacén. Las mercancías se registran al costo de adquisición y el método de costeo utilizado para el almacén es el de últimas entradas primeras salidas (UEPS).</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Anticipos a corto plazo. Estas partidas se valúan a su valor pactado originalmente del derecho exigible a un plazo menor o igual a doce meses.</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2012 en el Diario Oficial del Gobierno del Estado de Yucatán.     </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A47351" w:rsidRPr="00734675" w:rsidRDefault="00A47351" w:rsidP="00A47351">
      <w:pPr>
        <w:pStyle w:val="Prrafodelista"/>
        <w:tabs>
          <w:tab w:val="left" w:pos="284"/>
        </w:tabs>
        <w:ind w:left="284"/>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Gastos. Los gastos se registran cuando se devengan.</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lastRenderedPageBreak/>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6"/>
        </w:numPr>
        <w:tabs>
          <w:tab w:val="left" w:pos="284"/>
        </w:tabs>
        <w:ind w:left="284" w:hanging="284"/>
        <w:jc w:val="both"/>
        <w:rPr>
          <w:rFonts w:ascii="Calibri" w:hAnsi="Calibri"/>
          <w:sz w:val="20"/>
          <w:szCs w:val="20"/>
        </w:rPr>
      </w:pPr>
      <w:r w:rsidRPr="00734675">
        <w:rPr>
          <w:rFonts w:ascii="Calibri" w:hAnsi="Calibr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A47351" w:rsidRPr="00734675" w:rsidRDefault="00A47351" w:rsidP="00A47351">
      <w:pPr>
        <w:tabs>
          <w:tab w:val="left" w:pos="284"/>
        </w:tabs>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Posición en Moneda Extranjera y Protección por Riesgo Cambiario.</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Reporte Analítico del Activo.</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tabs>
          <w:tab w:val="left" w:pos="284"/>
        </w:tabs>
        <w:jc w:val="both"/>
        <w:rPr>
          <w:rFonts w:ascii="Calibri" w:hAnsi="Calibri"/>
          <w:sz w:val="20"/>
          <w:szCs w:val="20"/>
        </w:rPr>
      </w:pPr>
      <w:r w:rsidRPr="00734675">
        <w:rPr>
          <w:rFonts w:ascii="Calibri" w:hAnsi="Calibri"/>
          <w:sz w:val="20"/>
          <w:szCs w:val="20"/>
        </w:rPr>
        <w:t xml:space="preserve">Los bienes muebles e intangibles cuyo costo unitario de adquisición sea igual o superior a setenta veces el valor diario de la Unidad de Medida y Actualización, se registra contablemente como un aumento en el activo no circulante e identifica en el control administrativo para efectos de conciliación contable. Los bienes muebles e intangibles cuyo costo unitario de adquisición sea igual o inferior a setenta veces el valor diario de la Unidad de Medida y Actualización, se registra contablemente como un gasto, conforme al Acuerdo por el que se emiten las Reglas Específicas del Registro y Valoración del Patrimonio, publicado el 27 de Diciembre de 2017 en el Diario Oficial de la Federación.     </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 </w:t>
      </w: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A continuación, se enlista los años de vida útil y los porcentajes de depreciación anual aplicados a los siguientes rubros de bienes muebles:</w:t>
      </w: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    </w:t>
      </w:r>
    </w:p>
    <w:p w:rsidR="00A47351" w:rsidRPr="00734675" w:rsidRDefault="00A47351" w:rsidP="00E623D5">
      <w:pPr>
        <w:pStyle w:val="Prrafodelista"/>
        <w:tabs>
          <w:tab w:val="left" w:pos="426"/>
        </w:tabs>
        <w:ind w:left="0"/>
        <w:rPr>
          <w:rFonts w:ascii="Calibri" w:hAnsi="Calibri"/>
          <w:sz w:val="20"/>
          <w:szCs w:val="20"/>
        </w:rPr>
      </w:pPr>
      <w:r w:rsidRPr="00734675">
        <w:rPr>
          <w:rFonts w:ascii="Calibri" w:hAnsi="Calibri"/>
          <w:sz w:val="20"/>
          <w:szCs w:val="20"/>
        </w:rPr>
        <w:t xml:space="preserve"> </w:t>
      </w:r>
    </w:p>
    <w:tbl>
      <w:tblPr>
        <w:tblW w:w="7020" w:type="dxa"/>
        <w:tblInd w:w="1986" w:type="dxa"/>
        <w:tblCellMar>
          <w:left w:w="70" w:type="dxa"/>
          <w:right w:w="70" w:type="dxa"/>
        </w:tblCellMar>
        <w:tblLook w:val="04A0" w:firstRow="1" w:lastRow="0" w:firstColumn="1" w:lastColumn="0" w:noHBand="0" w:noVBand="1"/>
      </w:tblPr>
      <w:tblGrid>
        <w:gridCol w:w="3940"/>
        <w:gridCol w:w="1240"/>
        <w:gridCol w:w="1840"/>
      </w:tblGrid>
      <w:tr w:rsidR="00541D83" w:rsidRPr="00734675" w:rsidTr="00541D83">
        <w:trPr>
          <w:trHeight w:val="576"/>
        </w:trPr>
        <w:tc>
          <w:tcPr>
            <w:tcW w:w="3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83" w:rsidRPr="00734675" w:rsidRDefault="00541D83">
            <w:pPr>
              <w:jc w:val="center"/>
              <w:rPr>
                <w:rFonts w:ascii="Calibri" w:hAnsi="Calibri" w:cs="Calibri"/>
                <w:sz w:val="22"/>
                <w:szCs w:val="22"/>
                <w:lang w:eastAsia="es-MX"/>
              </w:rPr>
            </w:pPr>
            <w:r w:rsidRPr="00734675">
              <w:rPr>
                <w:rFonts w:ascii="Calibri" w:hAnsi="Calibri" w:cs="Calibri"/>
                <w:sz w:val="22"/>
                <w:szCs w:val="22"/>
              </w:rPr>
              <w:t>Rubro de Bienes Muebles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Años de             Vida Útil</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Porcentaje de Depreciación Anual</w:t>
            </w:r>
          </w:p>
        </w:tc>
      </w:tr>
      <w:tr w:rsidR="00541D83" w:rsidRPr="00734675" w:rsidTr="00541D83">
        <w:trPr>
          <w:trHeight w:val="288"/>
        </w:trPr>
        <w:tc>
          <w:tcPr>
            <w:tcW w:w="3940" w:type="dxa"/>
            <w:tcBorders>
              <w:top w:val="nil"/>
              <w:left w:val="nil"/>
              <w:bottom w:val="nil"/>
              <w:right w:val="nil"/>
            </w:tcBorders>
            <w:shd w:val="clear" w:color="000000" w:fill="FFFFFF"/>
            <w:noWrap/>
            <w:vAlign w:val="bottom"/>
            <w:hideMark/>
          </w:tcPr>
          <w:p w:rsidR="00541D83" w:rsidRPr="00734675" w:rsidRDefault="00541D83">
            <w:pPr>
              <w:rPr>
                <w:rFonts w:ascii="Calibri" w:hAnsi="Calibri" w:cs="Calibri"/>
                <w:sz w:val="22"/>
                <w:szCs w:val="22"/>
              </w:rPr>
            </w:pPr>
            <w:r w:rsidRPr="00734675">
              <w:rPr>
                <w:rFonts w:ascii="Calibri" w:hAnsi="Calibri" w:cs="Calibri"/>
                <w:sz w:val="22"/>
                <w:szCs w:val="22"/>
              </w:rPr>
              <w:t>Mobiliario y Equipo</w:t>
            </w:r>
          </w:p>
        </w:tc>
        <w:tc>
          <w:tcPr>
            <w:tcW w:w="12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10</w:t>
            </w:r>
          </w:p>
        </w:tc>
        <w:tc>
          <w:tcPr>
            <w:tcW w:w="18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10%</w:t>
            </w:r>
          </w:p>
        </w:tc>
      </w:tr>
      <w:tr w:rsidR="00541D83" w:rsidRPr="00734675" w:rsidTr="00541D83">
        <w:trPr>
          <w:trHeight w:val="288"/>
        </w:trPr>
        <w:tc>
          <w:tcPr>
            <w:tcW w:w="3940" w:type="dxa"/>
            <w:tcBorders>
              <w:top w:val="nil"/>
              <w:left w:val="nil"/>
              <w:bottom w:val="nil"/>
              <w:right w:val="nil"/>
            </w:tcBorders>
            <w:shd w:val="clear" w:color="000000" w:fill="FFFFFF"/>
            <w:noWrap/>
            <w:vAlign w:val="bottom"/>
            <w:hideMark/>
          </w:tcPr>
          <w:p w:rsidR="00541D83" w:rsidRPr="00734675" w:rsidRDefault="00541D83">
            <w:pPr>
              <w:rPr>
                <w:rFonts w:ascii="Calibri" w:hAnsi="Calibri" w:cs="Calibri"/>
                <w:sz w:val="22"/>
                <w:szCs w:val="22"/>
              </w:rPr>
            </w:pPr>
            <w:r w:rsidRPr="00734675">
              <w:rPr>
                <w:rFonts w:ascii="Calibri" w:hAnsi="Calibri" w:cs="Calibri"/>
                <w:sz w:val="22"/>
                <w:szCs w:val="22"/>
              </w:rPr>
              <w:t>Bienes artísticos y culturales</w:t>
            </w:r>
          </w:p>
        </w:tc>
        <w:tc>
          <w:tcPr>
            <w:tcW w:w="12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5</w:t>
            </w:r>
          </w:p>
        </w:tc>
        <w:tc>
          <w:tcPr>
            <w:tcW w:w="18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20.0%</w:t>
            </w:r>
          </w:p>
        </w:tc>
      </w:tr>
      <w:tr w:rsidR="00541D83" w:rsidRPr="00734675" w:rsidTr="00541D83">
        <w:trPr>
          <w:trHeight w:val="288"/>
        </w:trPr>
        <w:tc>
          <w:tcPr>
            <w:tcW w:w="3940" w:type="dxa"/>
            <w:tcBorders>
              <w:top w:val="nil"/>
              <w:left w:val="nil"/>
              <w:bottom w:val="nil"/>
              <w:right w:val="nil"/>
            </w:tcBorders>
            <w:shd w:val="clear" w:color="000000" w:fill="FFFFFF"/>
            <w:noWrap/>
            <w:vAlign w:val="bottom"/>
            <w:hideMark/>
          </w:tcPr>
          <w:p w:rsidR="00541D83" w:rsidRPr="00734675" w:rsidRDefault="00541D83">
            <w:pPr>
              <w:rPr>
                <w:rFonts w:ascii="Calibri" w:hAnsi="Calibri" w:cs="Calibri"/>
                <w:sz w:val="22"/>
                <w:szCs w:val="22"/>
              </w:rPr>
            </w:pPr>
            <w:r w:rsidRPr="00734675">
              <w:rPr>
                <w:rFonts w:ascii="Calibri" w:hAnsi="Calibri" w:cs="Calibri"/>
                <w:sz w:val="22"/>
                <w:szCs w:val="22"/>
              </w:rPr>
              <w:t>Bienes Informáticos</w:t>
            </w:r>
          </w:p>
        </w:tc>
        <w:tc>
          <w:tcPr>
            <w:tcW w:w="12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3</w:t>
            </w:r>
          </w:p>
        </w:tc>
        <w:tc>
          <w:tcPr>
            <w:tcW w:w="18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33.3%</w:t>
            </w:r>
          </w:p>
        </w:tc>
      </w:tr>
      <w:tr w:rsidR="00541D83" w:rsidRPr="00734675" w:rsidTr="00541D83">
        <w:trPr>
          <w:trHeight w:val="288"/>
        </w:trPr>
        <w:tc>
          <w:tcPr>
            <w:tcW w:w="3940" w:type="dxa"/>
            <w:tcBorders>
              <w:top w:val="nil"/>
              <w:left w:val="nil"/>
              <w:bottom w:val="nil"/>
              <w:right w:val="nil"/>
            </w:tcBorders>
            <w:shd w:val="clear" w:color="000000" w:fill="FFFFFF"/>
            <w:noWrap/>
            <w:vAlign w:val="bottom"/>
            <w:hideMark/>
          </w:tcPr>
          <w:p w:rsidR="00541D83" w:rsidRPr="00734675" w:rsidRDefault="00541D83">
            <w:pPr>
              <w:rPr>
                <w:rFonts w:ascii="Calibri" w:hAnsi="Calibri" w:cs="Calibri"/>
                <w:sz w:val="22"/>
                <w:szCs w:val="22"/>
              </w:rPr>
            </w:pPr>
            <w:r w:rsidRPr="00734675">
              <w:rPr>
                <w:rFonts w:ascii="Calibri" w:hAnsi="Calibri" w:cs="Calibri"/>
                <w:sz w:val="22"/>
                <w:szCs w:val="22"/>
              </w:rPr>
              <w:t>Maquinaria, otros equipos, herramientas</w:t>
            </w:r>
          </w:p>
        </w:tc>
        <w:tc>
          <w:tcPr>
            <w:tcW w:w="12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10</w:t>
            </w:r>
          </w:p>
        </w:tc>
        <w:tc>
          <w:tcPr>
            <w:tcW w:w="1840" w:type="dxa"/>
            <w:tcBorders>
              <w:top w:val="nil"/>
              <w:left w:val="nil"/>
              <w:bottom w:val="nil"/>
              <w:right w:val="nil"/>
            </w:tcBorders>
            <w:shd w:val="clear" w:color="000000" w:fill="FFFFFF"/>
            <w:noWrap/>
            <w:vAlign w:val="bottom"/>
            <w:hideMark/>
          </w:tcPr>
          <w:p w:rsidR="00541D83" w:rsidRPr="00734675" w:rsidRDefault="00541D83">
            <w:pPr>
              <w:jc w:val="center"/>
              <w:rPr>
                <w:rFonts w:ascii="Calibri" w:hAnsi="Calibri" w:cs="Calibri"/>
                <w:sz w:val="22"/>
                <w:szCs w:val="22"/>
              </w:rPr>
            </w:pPr>
            <w:r w:rsidRPr="00734675">
              <w:rPr>
                <w:rFonts w:ascii="Calibri" w:hAnsi="Calibri" w:cs="Calibri"/>
                <w:sz w:val="22"/>
                <w:szCs w:val="22"/>
              </w:rPr>
              <w:t>10%</w:t>
            </w:r>
          </w:p>
        </w:tc>
      </w:tr>
    </w:tbl>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A continuación, se enlista los años de vida útil y el porcentaje de amortización anual aplicado en el siguiente rubro de activos intangibles:</w:t>
      </w:r>
    </w:p>
    <w:p w:rsidR="00A47351" w:rsidRPr="00734675" w:rsidRDefault="00A47351" w:rsidP="00A47351">
      <w:pPr>
        <w:pStyle w:val="Prrafodelista"/>
        <w:tabs>
          <w:tab w:val="left" w:pos="426"/>
        </w:tabs>
        <w:ind w:left="0"/>
        <w:jc w:val="both"/>
        <w:rPr>
          <w:rFonts w:ascii="Calibri" w:hAnsi="Calibri"/>
          <w:sz w:val="20"/>
          <w:szCs w:val="20"/>
        </w:rPr>
      </w:pPr>
    </w:p>
    <w:p w:rsidR="00A47351" w:rsidRPr="00734675" w:rsidRDefault="00A47351" w:rsidP="00A47351">
      <w:pPr>
        <w:pStyle w:val="Prrafodelista"/>
        <w:tabs>
          <w:tab w:val="left" w:pos="426"/>
        </w:tabs>
        <w:ind w:left="0"/>
        <w:jc w:val="both"/>
        <w:rPr>
          <w:rFonts w:ascii="Calibri" w:hAnsi="Calibri"/>
          <w:sz w:val="20"/>
          <w:szCs w:val="20"/>
        </w:rPr>
      </w:pPr>
    </w:p>
    <w:tbl>
      <w:tblPr>
        <w:tblpPr w:leftFromText="141" w:rightFromText="141" w:vertAnchor="text" w:horzAnchor="margin" w:tblpXSpec="center" w:tblpY="-45"/>
        <w:tblW w:w="5580" w:type="dxa"/>
        <w:tblCellMar>
          <w:left w:w="70" w:type="dxa"/>
          <w:right w:w="70" w:type="dxa"/>
        </w:tblCellMar>
        <w:tblLook w:val="04A0" w:firstRow="1" w:lastRow="0" w:firstColumn="1" w:lastColumn="0" w:noHBand="0" w:noVBand="1"/>
      </w:tblPr>
      <w:tblGrid>
        <w:gridCol w:w="2600"/>
        <w:gridCol w:w="1240"/>
        <w:gridCol w:w="1740"/>
      </w:tblGrid>
      <w:tr w:rsidR="00541D83" w:rsidRPr="00734675" w:rsidTr="00541D83">
        <w:trPr>
          <w:trHeight w:val="864"/>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83" w:rsidRPr="00734675" w:rsidRDefault="00541D83" w:rsidP="00541D83">
            <w:pPr>
              <w:jc w:val="center"/>
              <w:rPr>
                <w:rFonts w:ascii="Calibri" w:hAnsi="Calibri" w:cs="Calibri"/>
                <w:sz w:val="22"/>
                <w:szCs w:val="22"/>
                <w:lang w:eastAsia="es-MX"/>
              </w:rPr>
            </w:pPr>
            <w:r w:rsidRPr="00734675">
              <w:rPr>
                <w:rFonts w:ascii="Calibri" w:hAnsi="Calibri" w:cs="Calibri"/>
                <w:sz w:val="22"/>
                <w:szCs w:val="22"/>
              </w:rPr>
              <w:t>Rubro de Bienes Muebles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1D83" w:rsidRPr="00734675" w:rsidRDefault="00541D83" w:rsidP="00541D83">
            <w:pPr>
              <w:jc w:val="center"/>
              <w:rPr>
                <w:rFonts w:ascii="Calibri" w:hAnsi="Calibri" w:cs="Calibri"/>
                <w:sz w:val="22"/>
                <w:szCs w:val="22"/>
              </w:rPr>
            </w:pPr>
            <w:r w:rsidRPr="00734675">
              <w:rPr>
                <w:rFonts w:ascii="Calibri" w:hAnsi="Calibri" w:cs="Calibri"/>
                <w:sz w:val="22"/>
                <w:szCs w:val="22"/>
              </w:rPr>
              <w:t>Años de             Vida Útil</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41D83" w:rsidRPr="00734675" w:rsidRDefault="00541D83" w:rsidP="00541D83">
            <w:pPr>
              <w:jc w:val="center"/>
              <w:rPr>
                <w:rFonts w:ascii="Calibri" w:hAnsi="Calibri" w:cs="Calibri"/>
                <w:sz w:val="22"/>
                <w:szCs w:val="22"/>
              </w:rPr>
            </w:pPr>
            <w:r w:rsidRPr="00734675">
              <w:rPr>
                <w:rFonts w:ascii="Calibri" w:hAnsi="Calibri" w:cs="Calibri"/>
                <w:sz w:val="22"/>
                <w:szCs w:val="22"/>
              </w:rPr>
              <w:t>Porcentaje de Amortización Anual</w:t>
            </w:r>
          </w:p>
        </w:tc>
      </w:tr>
      <w:tr w:rsidR="00541D83" w:rsidRPr="00734675" w:rsidTr="00541D83">
        <w:trPr>
          <w:trHeight w:val="405"/>
        </w:trPr>
        <w:tc>
          <w:tcPr>
            <w:tcW w:w="2600" w:type="dxa"/>
            <w:tcBorders>
              <w:top w:val="nil"/>
              <w:left w:val="nil"/>
              <w:bottom w:val="nil"/>
              <w:right w:val="nil"/>
            </w:tcBorders>
            <w:shd w:val="clear" w:color="000000" w:fill="FFFFFF"/>
            <w:noWrap/>
            <w:vAlign w:val="bottom"/>
            <w:hideMark/>
          </w:tcPr>
          <w:p w:rsidR="00541D83" w:rsidRPr="00734675" w:rsidRDefault="00541D83" w:rsidP="00541D83">
            <w:pPr>
              <w:rPr>
                <w:rFonts w:ascii="Calibri" w:hAnsi="Calibri" w:cs="Calibri"/>
                <w:sz w:val="22"/>
                <w:szCs w:val="22"/>
              </w:rPr>
            </w:pPr>
            <w:r w:rsidRPr="00734675">
              <w:rPr>
                <w:rFonts w:ascii="Calibri" w:hAnsi="Calibri" w:cs="Calibri"/>
                <w:sz w:val="22"/>
                <w:szCs w:val="22"/>
              </w:rPr>
              <w:t>Software</w:t>
            </w:r>
          </w:p>
        </w:tc>
        <w:tc>
          <w:tcPr>
            <w:tcW w:w="1240" w:type="dxa"/>
            <w:tcBorders>
              <w:top w:val="nil"/>
              <w:left w:val="nil"/>
              <w:bottom w:val="nil"/>
              <w:right w:val="nil"/>
            </w:tcBorders>
            <w:shd w:val="clear" w:color="000000" w:fill="FFFFFF"/>
            <w:noWrap/>
            <w:vAlign w:val="bottom"/>
            <w:hideMark/>
          </w:tcPr>
          <w:p w:rsidR="00541D83" w:rsidRPr="00734675" w:rsidRDefault="00541D83" w:rsidP="00541D83">
            <w:pPr>
              <w:jc w:val="center"/>
              <w:rPr>
                <w:rFonts w:ascii="Calibri" w:hAnsi="Calibri" w:cs="Calibri"/>
                <w:sz w:val="22"/>
                <w:szCs w:val="22"/>
              </w:rPr>
            </w:pPr>
            <w:r w:rsidRPr="00734675">
              <w:rPr>
                <w:rFonts w:ascii="Calibri" w:hAnsi="Calibri" w:cs="Calibri"/>
                <w:sz w:val="22"/>
                <w:szCs w:val="22"/>
              </w:rPr>
              <w:t>3</w:t>
            </w:r>
          </w:p>
        </w:tc>
        <w:tc>
          <w:tcPr>
            <w:tcW w:w="1740" w:type="dxa"/>
            <w:tcBorders>
              <w:top w:val="nil"/>
              <w:left w:val="nil"/>
              <w:bottom w:val="nil"/>
              <w:right w:val="nil"/>
            </w:tcBorders>
            <w:shd w:val="clear" w:color="000000" w:fill="FFFFFF"/>
            <w:noWrap/>
            <w:vAlign w:val="bottom"/>
            <w:hideMark/>
          </w:tcPr>
          <w:p w:rsidR="00541D83" w:rsidRPr="00734675" w:rsidRDefault="00541D83" w:rsidP="00541D83">
            <w:pPr>
              <w:jc w:val="center"/>
              <w:rPr>
                <w:rFonts w:ascii="Calibri" w:hAnsi="Calibri" w:cs="Calibri"/>
                <w:sz w:val="22"/>
                <w:szCs w:val="22"/>
              </w:rPr>
            </w:pPr>
            <w:r w:rsidRPr="00734675">
              <w:rPr>
                <w:rFonts w:ascii="Calibri" w:hAnsi="Calibri" w:cs="Calibri"/>
                <w:sz w:val="22"/>
                <w:szCs w:val="22"/>
              </w:rPr>
              <w:t>33.3%</w:t>
            </w:r>
          </w:p>
        </w:tc>
      </w:tr>
    </w:tbl>
    <w:p w:rsidR="00A47351" w:rsidRPr="00734675" w:rsidRDefault="00A47351" w:rsidP="00A47351">
      <w:pPr>
        <w:pStyle w:val="Prrafodelista"/>
        <w:tabs>
          <w:tab w:val="left" w:pos="426"/>
        </w:tabs>
        <w:ind w:left="0"/>
        <w:jc w:val="both"/>
        <w:rPr>
          <w:rFonts w:ascii="Calibri" w:hAnsi="Calibri"/>
          <w:sz w:val="20"/>
          <w:szCs w:val="20"/>
        </w:rPr>
      </w:pPr>
      <w:r w:rsidRPr="00734675">
        <w:rPr>
          <w:rFonts w:ascii="Calibri" w:hAnsi="Calibri"/>
          <w:sz w:val="20"/>
          <w:szCs w:val="20"/>
        </w:rPr>
        <w:t xml:space="preserve">    </w:t>
      </w:r>
    </w:p>
    <w:p w:rsidR="00A47351" w:rsidRPr="00734675" w:rsidRDefault="00A47351" w:rsidP="00A47351">
      <w:pPr>
        <w:pStyle w:val="Prrafodelista"/>
        <w:tabs>
          <w:tab w:val="left" w:pos="426"/>
        </w:tabs>
        <w:ind w:left="0"/>
        <w:rPr>
          <w:rFonts w:ascii="Calibri" w:hAnsi="Calibri"/>
          <w:sz w:val="20"/>
          <w:szCs w:val="20"/>
        </w:rPr>
      </w:pPr>
      <w:r w:rsidRPr="00734675">
        <w:rPr>
          <w:rFonts w:ascii="Calibri" w:hAnsi="Calibri"/>
          <w:sz w:val="20"/>
          <w:szCs w:val="20"/>
        </w:rPr>
        <w:t xml:space="preserve"> </w:t>
      </w:r>
    </w:p>
    <w:p w:rsidR="00A47351" w:rsidRPr="00734675" w:rsidRDefault="00A47351" w:rsidP="00A47351">
      <w:pPr>
        <w:pStyle w:val="Textoindependiente2"/>
        <w:tabs>
          <w:tab w:val="left" w:pos="7965"/>
        </w:tabs>
        <w:rPr>
          <w:rFonts w:ascii="Calibri" w:hAnsi="Calibri"/>
          <w:sz w:val="20"/>
          <w:szCs w:val="20"/>
        </w:rPr>
      </w:pPr>
    </w:p>
    <w:p w:rsidR="00A47351" w:rsidRPr="00734675" w:rsidRDefault="00A47351" w:rsidP="00A47351">
      <w:pPr>
        <w:pStyle w:val="Textoindependiente2"/>
        <w:tabs>
          <w:tab w:val="left" w:pos="7965"/>
        </w:tabs>
        <w:rPr>
          <w:rFonts w:ascii="Calibri" w:hAnsi="Calibri"/>
          <w:sz w:val="20"/>
          <w:szCs w:val="20"/>
        </w:rPr>
      </w:pPr>
    </w:p>
    <w:p w:rsidR="00A47351" w:rsidRPr="00734675" w:rsidRDefault="00A47351" w:rsidP="00A47351">
      <w:pPr>
        <w:pStyle w:val="Textoindependiente2"/>
        <w:tabs>
          <w:tab w:val="left" w:pos="7965"/>
        </w:tabs>
        <w:rPr>
          <w:rFonts w:ascii="Calibri" w:hAnsi="Calibri"/>
          <w:sz w:val="20"/>
          <w:szCs w:val="20"/>
        </w:rPr>
      </w:pPr>
    </w:p>
    <w:p w:rsidR="00A47351" w:rsidRPr="00734675" w:rsidRDefault="00A47351" w:rsidP="00A47351">
      <w:pPr>
        <w:pStyle w:val="Textoindependiente2"/>
        <w:tabs>
          <w:tab w:val="left" w:pos="7965"/>
        </w:tabs>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Fideicomiso, Mandatos y Análogos.</w:t>
      </w:r>
    </w:p>
    <w:p w:rsidR="00A47351" w:rsidRPr="00734675" w:rsidRDefault="00A47351" w:rsidP="00A47351">
      <w:pPr>
        <w:pStyle w:val="Textoindependiente2"/>
        <w:tabs>
          <w:tab w:val="left" w:pos="7965"/>
        </w:tabs>
        <w:rPr>
          <w:rFonts w:ascii="Calibri" w:hAnsi="Calibri"/>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734675" w:rsidRDefault="00A47351" w:rsidP="00A47351">
      <w:pPr>
        <w:pStyle w:val="Textoindependiente2"/>
        <w:tabs>
          <w:tab w:val="left" w:pos="7965"/>
        </w:tabs>
        <w:rPr>
          <w:rFonts w:ascii="Calibri" w:hAnsi="Calibri"/>
          <w:sz w:val="20"/>
          <w:szCs w:val="20"/>
        </w:rPr>
      </w:pPr>
      <w:r w:rsidRPr="00734675">
        <w:rPr>
          <w:rFonts w:ascii="Calibri" w:hAnsi="Calibri"/>
          <w:sz w:val="20"/>
          <w:szCs w:val="20"/>
        </w:rPr>
        <w:tab/>
      </w:r>
    </w:p>
    <w:p w:rsidR="00A47351" w:rsidRPr="00734675" w:rsidRDefault="00A47351" w:rsidP="00A47351">
      <w:pPr>
        <w:pStyle w:val="Prrafodelista"/>
        <w:tabs>
          <w:tab w:val="left" w:pos="0"/>
          <w:tab w:val="left" w:pos="284"/>
        </w:tabs>
        <w:ind w:left="0"/>
        <w:jc w:val="both"/>
        <w:rPr>
          <w:rFonts w:ascii="Calibri" w:hAnsi="Calibri"/>
          <w:sz w:val="20"/>
          <w:szCs w:val="20"/>
        </w:rPr>
      </w:pPr>
      <w:r w:rsidRPr="00734675">
        <w:rPr>
          <w:rFonts w:ascii="Calibri" w:hAnsi="Calibri"/>
          <w:sz w:val="20"/>
          <w:szCs w:val="20"/>
        </w:rPr>
        <w:t>Como resultado de los remanentes de efectivo disponibles de los ejercicios subsecuentes, el Comité Técnico del FIGAROSY autorizó para los ejercicios 2010, 2011, 2012, 2013, 2014, 2015, 2016 y 2017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A47351" w:rsidRDefault="00A47351" w:rsidP="00A47351">
      <w:pPr>
        <w:pStyle w:val="Prrafodelista"/>
        <w:tabs>
          <w:tab w:val="left" w:pos="0"/>
          <w:tab w:val="left" w:pos="284"/>
        </w:tabs>
        <w:ind w:left="0"/>
        <w:jc w:val="both"/>
        <w:rPr>
          <w:rFonts w:ascii="Calibri" w:hAnsi="Calibri"/>
          <w:sz w:val="20"/>
          <w:szCs w:val="20"/>
        </w:rPr>
      </w:pPr>
    </w:p>
    <w:p w:rsidR="00134274" w:rsidRDefault="00134274" w:rsidP="00A47351">
      <w:pPr>
        <w:pStyle w:val="Prrafodelista"/>
        <w:tabs>
          <w:tab w:val="left" w:pos="0"/>
          <w:tab w:val="left" w:pos="284"/>
        </w:tabs>
        <w:ind w:left="0"/>
        <w:jc w:val="both"/>
        <w:rPr>
          <w:rFonts w:ascii="Calibri" w:hAnsi="Calibri"/>
          <w:sz w:val="20"/>
          <w:szCs w:val="20"/>
        </w:rPr>
      </w:pPr>
    </w:p>
    <w:p w:rsidR="00134274" w:rsidRPr="00734675" w:rsidRDefault="00134274" w:rsidP="00A47351">
      <w:pPr>
        <w:pStyle w:val="Prrafodelista"/>
        <w:tabs>
          <w:tab w:val="left" w:pos="0"/>
          <w:tab w:val="left" w:pos="284"/>
        </w:tabs>
        <w:ind w:left="0"/>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Reporte de la Recaudación.</w:t>
      </w:r>
    </w:p>
    <w:p w:rsidR="00A47351" w:rsidRPr="00734675" w:rsidRDefault="00A47351" w:rsidP="00A47351">
      <w:pPr>
        <w:pStyle w:val="Prrafodelista"/>
        <w:tabs>
          <w:tab w:val="left" w:pos="426"/>
        </w:tabs>
        <w:ind w:left="0"/>
        <w:rPr>
          <w:rFonts w:ascii="Calibri" w:hAnsi="Calibri"/>
          <w:b/>
          <w:sz w:val="20"/>
          <w:szCs w:val="20"/>
        </w:rPr>
      </w:pPr>
    </w:p>
    <w:p w:rsidR="00A47351" w:rsidRPr="00734675" w:rsidRDefault="00A47351" w:rsidP="00A47351">
      <w:pPr>
        <w:pStyle w:val="Prrafodelista"/>
        <w:tabs>
          <w:tab w:val="left" w:pos="284"/>
        </w:tabs>
        <w:ind w:left="0"/>
        <w:jc w:val="both"/>
        <w:rPr>
          <w:rFonts w:ascii="Calibri" w:hAnsi="Calibri"/>
          <w:sz w:val="20"/>
          <w:szCs w:val="20"/>
        </w:rPr>
      </w:pPr>
      <w:r w:rsidRPr="00734675">
        <w:rPr>
          <w:rFonts w:ascii="Calibri" w:hAnsi="Calibri"/>
          <w:sz w:val="20"/>
          <w:szCs w:val="20"/>
        </w:rPr>
        <w:t xml:space="preserve">Conforme al Decreto número </w:t>
      </w:r>
      <w:r w:rsidR="00157E23" w:rsidRPr="00734675">
        <w:rPr>
          <w:rFonts w:ascii="Calibri" w:hAnsi="Calibri"/>
          <w:sz w:val="20"/>
          <w:szCs w:val="20"/>
        </w:rPr>
        <w:t>441</w:t>
      </w:r>
      <w:r w:rsidRPr="00734675">
        <w:rPr>
          <w:rFonts w:ascii="Calibri" w:hAnsi="Calibri"/>
          <w:sz w:val="20"/>
          <w:szCs w:val="20"/>
        </w:rPr>
        <w:t>/20</w:t>
      </w:r>
      <w:r w:rsidR="00152BA8" w:rsidRPr="00734675">
        <w:rPr>
          <w:rFonts w:ascii="Calibri" w:hAnsi="Calibri"/>
          <w:sz w:val="20"/>
          <w:szCs w:val="20"/>
        </w:rPr>
        <w:t>2</w:t>
      </w:r>
      <w:r w:rsidR="00157E23" w:rsidRPr="00734675">
        <w:rPr>
          <w:rFonts w:ascii="Calibri" w:hAnsi="Calibri"/>
          <w:sz w:val="20"/>
          <w:szCs w:val="20"/>
        </w:rPr>
        <w:t>1</w:t>
      </w:r>
      <w:r w:rsidRPr="00734675">
        <w:rPr>
          <w:rFonts w:ascii="Calibri" w:hAnsi="Calibri"/>
          <w:sz w:val="20"/>
          <w:szCs w:val="20"/>
        </w:rPr>
        <w:t xml:space="preserve"> de fecha 3</w:t>
      </w:r>
      <w:r w:rsidR="00152BA8" w:rsidRPr="00734675">
        <w:rPr>
          <w:rFonts w:ascii="Calibri" w:hAnsi="Calibri"/>
          <w:sz w:val="20"/>
          <w:szCs w:val="20"/>
        </w:rPr>
        <w:t>0</w:t>
      </w:r>
      <w:r w:rsidRPr="00734675">
        <w:rPr>
          <w:rFonts w:ascii="Calibri" w:hAnsi="Calibri"/>
          <w:sz w:val="20"/>
          <w:szCs w:val="20"/>
        </w:rPr>
        <w:t xml:space="preserve"> de Diciembre de 20</w:t>
      </w:r>
      <w:r w:rsidR="00152BA8" w:rsidRPr="00734675">
        <w:rPr>
          <w:rFonts w:ascii="Calibri" w:hAnsi="Calibri"/>
          <w:sz w:val="20"/>
          <w:szCs w:val="20"/>
        </w:rPr>
        <w:t>2</w:t>
      </w:r>
      <w:r w:rsidR="00157E23" w:rsidRPr="00734675">
        <w:rPr>
          <w:rFonts w:ascii="Calibri" w:hAnsi="Calibri"/>
          <w:sz w:val="20"/>
          <w:szCs w:val="20"/>
        </w:rPr>
        <w:t>1</w:t>
      </w:r>
      <w:r w:rsidRPr="00734675">
        <w:rPr>
          <w:rFonts w:ascii="Calibri" w:hAnsi="Calibri"/>
          <w:sz w:val="20"/>
          <w:szCs w:val="20"/>
        </w:rPr>
        <w:t xml:space="preserve">, publicado en el Diario oficial del Estado de Yucatán, se autorizó erogar la cantidad de $ </w:t>
      </w:r>
      <w:r w:rsidR="00157E23" w:rsidRPr="00734675">
        <w:rPr>
          <w:rFonts w:ascii="Calibri" w:hAnsi="Calibri"/>
          <w:sz w:val="20"/>
          <w:szCs w:val="20"/>
        </w:rPr>
        <w:t>31,075,863.00</w:t>
      </w:r>
      <w:r w:rsidRPr="00734675">
        <w:rPr>
          <w:rFonts w:ascii="Calibri" w:hAnsi="Calibri"/>
          <w:sz w:val="20"/>
          <w:szCs w:val="20"/>
        </w:rPr>
        <w:t>, durante el ejercicio 202</w:t>
      </w:r>
      <w:r w:rsidR="00157E23" w:rsidRPr="00734675">
        <w:rPr>
          <w:rFonts w:ascii="Calibri" w:hAnsi="Calibri"/>
          <w:sz w:val="20"/>
          <w:szCs w:val="20"/>
        </w:rPr>
        <w:t>2</w:t>
      </w:r>
      <w:r w:rsidRPr="00734675">
        <w:rPr>
          <w:rFonts w:ascii="Calibri" w:hAnsi="Calibri"/>
          <w:sz w:val="20"/>
          <w:szCs w:val="20"/>
        </w:rPr>
        <w:t>. Por tal motivo, El Fideicomiso Garante de la Orquesta Sinfónica de Yucatán estimó recaudar los ingresos de la siguiente forma:</w:t>
      </w:r>
    </w:p>
    <w:p w:rsidR="00A47351" w:rsidRPr="00734675" w:rsidRDefault="00A47351" w:rsidP="00A47351">
      <w:pPr>
        <w:jc w:val="both"/>
        <w:rPr>
          <w:rFonts w:ascii="Calibri" w:hAnsi="Calibri"/>
          <w:sz w:val="20"/>
          <w:szCs w:val="20"/>
        </w:rPr>
      </w:pPr>
    </w:p>
    <w:p w:rsidR="00A47351" w:rsidRPr="00734675" w:rsidRDefault="00A47351" w:rsidP="00A47351">
      <w:pPr>
        <w:spacing w:line="360" w:lineRule="auto"/>
        <w:jc w:val="both"/>
        <w:rPr>
          <w:rFonts w:ascii="Calibri" w:hAnsi="Calibri"/>
          <w:sz w:val="20"/>
          <w:szCs w:val="20"/>
        </w:rPr>
      </w:pPr>
      <w:r w:rsidRPr="00734675">
        <w:rPr>
          <w:rFonts w:ascii="Calibri" w:hAnsi="Calibri"/>
          <w:sz w:val="20"/>
          <w:szCs w:val="20"/>
        </w:rPr>
        <w:t>A continuación, se presenta el presupuesto autorizado para el ejercicio 202</w:t>
      </w:r>
      <w:r w:rsidR="00CC566A" w:rsidRPr="00734675">
        <w:rPr>
          <w:rFonts w:ascii="Calibri" w:hAnsi="Calibri"/>
          <w:sz w:val="20"/>
          <w:szCs w:val="20"/>
        </w:rPr>
        <w:t>2</w:t>
      </w:r>
      <w:r w:rsidRPr="00734675">
        <w:rPr>
          <w:rFonts w:ascii="Calibri" w:hAnsi="Calibri"/>
          <w:sz w:val="20"/>
          <w:szCs w:val="20"/>
        </w:rPr>
        <w:t>:</w:t>
      </w:r>
    </w:p>
    <w:p w:rsidR="00A47351" w:rsidRPr="00734675" w:rsidRDefault="00A47351" w:rsidP="00A47351">
      <w:pPr>
        <w:spacing w:line="360" w:lineRule="auto"/>
        <w:jc w:val="both"/>
        <w:rPr>
          <w:rFonts w:ascii="Calibri" w:hAnsi="Calibri"/>
          <w:sz w:val="20"/>
          <w:szCs w:val="20"/>
        </w:rPr>
      </w:pPr>
    </w:p>
    <w:tbl>
      <w:tblPr>
        <w:tblW w:w="5685" w:type="dxa"/>
        <w:jc w:val="center"/>
        <w:tblCellMar>
          <w:left w:w="70" w:type="dxa"/>
          <w:right w:w="70" w:type="dxa"/>
        </w:tblCellMar>
        <w:tblLook w:val="04A0" w:firstRow="1" w:lastRow="0" w:firstColumn="1" w:lastColumn="0" w:noHBand="0" w:noVBand="1"/>
      </w:tblPr>
      <w:tblGrid>
        <w:gridCol w:w="3906"/>
        <w:gridCol w:w="1779"/>
      </w:tblGrid>
      <w:tr w:rsidR="00A47351" w:rsidRPr="00734675" w:rsidTr="00DB481A">
        <w:trPr>
          <w:trHeight w:val="525"/>
          <w:jc w:val="center"/>
        </w:trPr>
        <w:tc>
          <w:tcPr>
            <w:tcW w:w="39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351" w:rsidRPr="00734675" w:rsidRDefault="00A47351" w:rsidP="006A1341">
            <w:pPr>
              <w:ind w:left="708" w:hanging="708"/>
              <w:jc w:val="center"/>
              <w:rPr>
                <w:rFonts w:ascii="Calibri" w:hAnsi="Calibri" w:cs="Calibri"/>
                <w:b/>
                <w:bCs/>
                <w:color w:val="000000"/>
                <w:sz w:val="20"/>
                <w:szCs w:val="20"/>
              </w:rPr>
            </w:pPr>
            <w:r w:rsidRPr="00734675">
              <w:rPr>
                <w:rFonts w:ascii="Calibri" w:hAnsi="Calibri" w:cs="Tahoma"/>
                <w:b/>
                <w:bCs/>
                <w:color w:val="000000"/>
                <w:sz w:val="20"/>
                <w:szCs w:val="20"/>
              </w:rPr>
              <w:t>F u e n t e    d e    I n g r e s o s</w:t>
            </w:r>
          </w:p>
        </w:tc>
        <w:tc>
          <w:tcPr>
            <w:tcW w:w="1779" w:type="dxa"/>
            <w:tcBorders>
              <w:top w:val="single" w:sz="8" w:space="0" w:color="auto"/>
              <w:left w:val="nil"/>
              <w:bottom w:val="single" w:sz="8" w:space="0" w:color="auto"/>
              <w:right w:val="single" w:sz="8" w:space="0" w:color="auto"/>
            </w:tcBorders>
            <w:shd w:val="clear" w:color="000000" w:fill="FFFFFF"/>
            <w:vAlign w:val="center"/>
            <w:hideMark/>
          </w:tcPr>
          <w:p w:rsidR="00A47351" w:rsidRPr="00734675" w:rsidRDefault="00A47351" w:rsidP="00DB481A">
            <w:pPr>
              <w:jc w:val="center"/>
              <w:rPr>
                <w:rFonts w:ascii="Calibri" w:hAnsi="Calibri" w:cs="Calibri"/>
                <w:b/>
                <w:bCs/>
                <w:color w:val="000000"/>
                <w:sz w:val="20"/>
                <w:szCs w:val="20"/>
              </w:rPr>
            </w:pPr>
            <w:r w:rsidRPr="00734675">
              <w:rPr>
                <w:rFonts w:ascii="Calibri" w:hAnsi="Calibri" w:cs="Tahoma"/>
                <w:b/>
                <w:bCs/>
                <w:color w:val="000000"/>
                <w:sz w:val="20"/>
                <w:szCs w:val="20"/>
              </w:rPr>
              <w:t>Ley de Ingresos Estimada</w:t>
            </w:r>
          </w:p>
        </w:tc>
      </w:tr>
      <w:tr w:rsidR="00A47351" w:rsidRPr="00734675" w:rsidTr="00DB481A">
        <w:trPr>
          <w:trHeight w:val="102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b/>
                <w:bCs/>
                <w:color w:val="000000"/>
                <w:sz w:val="20"/>
                <w:szCs w:val="20"/>
                <w:u w:val="single"/>
              </w:rPr>
            </w:pPr>
            <w:r w:rsidRPr="00734675">
              <w:rPr>
                <w:rFonts w:ascii="Calibri" w:hAnsi="Calibri" w:cs="Tahoma"/>
                <w:b/>
                <w:bCs/>
                <w:color w:val="000000"/>
                <w:sz w:val="20"/>
                <w:szCs w:val="20"/>
                <w:u w:val="single"/>
              </w:rPr>
              <w:t>INGRESOS POR VENTA DE BIENES Y SERVICIOS DE ORGANISMOS DESCENTRALIZADOS</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 </w:t>
            </w:r>
          </w:p>
        </w:tc>
      </w:tr>
      <w:tr w:rsidR="00A47351" w:rsidRPr="00734675" w:rsidTr="00DB481A">
        <w:trPr>
          <w:trHeight w:val="51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Ingreso por venta de localidades de la OSY</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p>
        </w:tc>
      </w:tr>
      <w:tr w:rsidR="00A47351" w:rsidRPr="00734675" w:rsidTr="00DB481A">
        <w:trPr>
          <w:trHeight w:val="30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Temporada XXXV</w:t>
            </w:r>
            <w:r w:rsidR="001F3941" w:rsidRPr="00734675">
              <w:rPr>
                <w:rFonts w:ascii="Calibri" w:hAnsi="Calibri" w:cs="Tahoma"/>
                <w:color w:val="000000"/>
                <w:sz w:val="20"/>
                <w:szCs w:val="20"/>
              </w:rPr>
              <w:t>II</w:t>
            </w:r>
          </w:p>
        </w:tc>
        <w:tc>
          <w:tcPr>
            <w:tcW w:w="1779" w:type="dxa"/>
            <w:tcBorders>
              <w:top w:val="nil"/>
              <w:left w:val="nil"/>
              <w:bottom w:val="nil"/>
              <w:right w:val="nil"/>
            </w:tcBorders>
            <w:shd w:val="clear" w:color="000000" w:fill="FFFFFF"/>
            <w:vAlign w:val="center"/>
            <w:hideMark/>
          </w:tcPr>
          <w:p w:rsidR="00A47351" w:rsidRPr="00734675" w:rsidRDefault="00A47351" w:rsidP="00157E23">
            <w:pPr>
              <w:jc w:val="right"/>
              <w:rPr>
                <w:rFonts w:ascii="Calibri" w:hAnsi="Calibri" w:cs="Calibri"/>
                <w:color w:val="000000"/>
                <w:sz w:val="20"/>
                <w:szCs w:val="20"/>
              </w:rPr>
            </w:pPr>
            <w:r w:rsidRPr="00734675">
              <w:rPr>
                <w:rFonts w:ascii="Calibri" w:hAnsi="Calibri" w:cs="Tahoma"/>
                <w:color w:val="000000"/>
                <w:sz w:val="20"/>
                <w:szCs w:val="20"/>
              </w:rPr>
              <w:t>$</w:t>
            </w:r>
            <w:r w:rsidR="00157E23" w:rsidRPr="00734675">
              <w:rPr>
                <w:rFonts w:ascii="Calibri" w:hAnsi="Calibri" w:cs="Tahoma"/>
                <w:color w:val="000000"/>
                <w:sz w:val="20"/>
                <w:szCs w:val="20"/>
              </w:rPr>
              <w:t>7,051,041.00</w:t>
            </w:r>
          </w:p>
        </w:tc>
      </w:tr>
      <w:tr w:rsidR="00A47351" w:rsidRPr="00734675" w:rsidTr="00DB481A">
        <w:trPr>
          <w:trHeight w:val="31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Temporada XXXVI</w:t>
            </w:r>
            <w:r w:rsidR="001F3941" w:rsidRPr="00734675">
              <w:rPr>
                <w:rFonts w:ascii="Calibri" w:hAnsi="Calibri" w:cs="Tahoma"/>
                <w:color w:val="000000"/>
                <w:sz w:val="20"/>
                <w:szCs w:val="20"/>
              </w:rPr>
              <w:t>III</w:t>
            </w:r>
          </w:p>
        </w:tc>
        <w:tc>
          <w:tcPr>
            <w:tcW w:w="1779" w:type="dxa"/>
            <w:tcBorders>
              <w:top w:val="nil"/>
              <w:left w:val="nil"/>
              <w:bottom w:val="single" w:sz="8" w:space="0" w:color="auto"/>
              <w:right w:val="nil"/>
            </w:tcBorders>
            <w:shd w:val="clear" w:color="000000" w:fill="FFFFFF"/>
            <w:vAlign w:val="center"/>
            <w:hideMark/>
          </w:tcPr>
          <w:p w:rsidR="00A47351" w:rsidRPr="00734675" w:rsidRDefault="00157E23" w:rsidP="00DB481A">
            <w:pPr>
              <w:jc w:val="right"/>
              <w:rPr>
                <w:rFonts w:ascii="Calibri" w:hAnsi="Calibri" w:cs="Calibri"/>
                <w:color w:val="000000"/>
                <w:sz w:val="20"/>
                <w:szCs w:val="20"/>
              </w:rPr>
            </w:pPr>
            <w:r w:rsidRPr="00734675">
              <w:rPr>
                <w:rFonts w:ascii="Calibri" w:hAnsi="Calibri" w:cs="Calibri"/>
                <w:color w:val="000000"/>
                <w:sz w:val="20"/>
                <w:szCs w:val="20"/>
              </w:rPr>
              <w:t>6,919,822.00</w:t>
            </w:r>
          </w:p>
        </w:tc>
      </w:tr>
      <w:tr w:rsidR="00A47351" w:rsidRPr="00734675" w:rsidTr="00DB481A">
        <w:trPr>
          <w:trHeight w:val="52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Suma Ingreso por venta de localidades de la OSY</w:t>
            </w:r>
          </w:p>
        </w:tc>
        <w:tc>
          <w:tcPr>
            <w:tcW w:w="1779" w:type="dxa"/>
            <w:tcBorders>
              <w:top w:val="nil"/>
              <w:left w:val="nil"/>
              <w:bottom w:val="dashed" w:sz="8" w:space="0" w:color="auto"/>
              <w:right w:val="nil"/>
            </w:tcBorders>
            <w:shd w:val="clear" w:color="000000" w:fill="FFFFFF"/>
            <w:vAlign w:val="center"/>
            <w:hideMark/>
          </w:tcPr>
          <w:p w:rsidR="00A47351" w:rsidRPr="00734675" w:rsidRDefault="00A47351" w:rsidP="00157E23">
            <w:pPr>
              <w:jc w:val="right"/>
              <w:rPr>
                <w:rFonts w:ascii="Calibri" w:hAnsi="Calibri" w:cs="Calibri"/>
                <w:color w:val="000000"/>
                <w:sz w:val="20"/>
                <w:szCs w:val="20"/>
              </w:rPr>
            </w:pPr>
            <w:r w:rsidRPr="00734675">
              <w:rPr>
                <w:rFonts w:ascii="Calibri" w:hAnsi="Calibri" w:cs="Tahoma"/>
                <w:color w:val="000000"/>
                <w:sz w:val="20"/>
                <w:szCs w:val="20"/>
              </w:rPr>
              <w:t>$</w:t>
            </w:r>
            <w:r w:rsidR="00157E23" w:rsidRPr="00734675">
              <w:rPr>
                <w:rFonts w:ascii="Calibri" w:hAnsi="Calibri" w:cs="Tahoma"/>
                <w:color w:val="000000"/>
                <w:sz w:val="20"/>
                <w:szCs w:val="20"/>
              </w:rPr>
              <w:t>13,970,863.00</w:t>
            </w:r>
          </w:p>
        </w:tc>
      </w:tr>
      <w:tr w:rsidR="00A47351" w:rsidRPr="00734675" w:rsidTr="00DB481A">
        <w:trPr>
          <w:trHeight w:val="51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Intereses ganados de valores</w:t>
            </w:r>
          </w:p>
        </w:tc>
        <w:tc>
          <w:tcPr>
            <w:tcW w:w="1779"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 </w:t>
            </w:r>
          </w:p>
        </w:tc>
      </w:tr>
      <w:tr w:rsidR="00A47351" w:rsidRPr="00734675" w:rsidTr="00DB481A">
        <w:trPr>
          <w:trHeight w:val="51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Rendimiento Nafin Concentradora</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$60,150.00</w:t>
            </w:r>
          </w:p>
        </w:tc>
      </w:tr>
      <w:tr w:rsidR="00A47351" w:rsidRPr="00734675" w:rsidTr="00DB481A">
        <w:trPr>
          <w:trHeight w:val="30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Rendimiento Gastos Corriente</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2,500.00</w:t>
            </w:r>
          </w:p>
        </w:tc>
      </w:tr>
      <w:tr w:rsidR="00A47351" w:rsidRPr="00734675" w:rsidTr="00DB481A">
        <w:trPr>
          <w:trHeight w:val="31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Rendimiento Nomina</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 xml:space="preserve">                             350.00 </w:t>
            </w:r>
          </w:p>
        </w:tc>
      </w:tr>
      <w:tr w:rsidR="00A47351" w:rsidRPr="00734675" w:rsidTr="00DB481A">
        <w:trPr>
          <w:trHeight w:val="52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lastRenderedPageBreak/>
              <w:t>Suma Intereses ganados de valores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$63,000.00</w:t>
            </w:r>
          </w:p>
        </w:tc>
      </w:tr>
      <w:tr w:rsidR="00A47351" w:rsidRPr="00734675" w:rsidTr="00DB481A">
        <w:trPr>
          <w:trHeight w:val="30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Otros ingresos</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 </w:t>
            </w:r>
          </w:p>
        </w:tc>
      </w:tr>
      <w:tr w:rsidR="00A47351" w:rsidRPr="00734675" w:rsidTr="00DB481A">
        <w:trPr>
          <w:trHeight w:val="30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Aportación POSY</w:t>
            </w:r>
          </w:p>
        </w:tc>
        <w:tc>
          <w:tcPr>
            <w:tcW w:w="1779" w:type="dxa"/>
            <w:tcBorders>
              <w:top w:val="nil"/>
              <w:left w:val="nil"/>
              <w:bottom w:val="nil"/>
              <w:right w:val="nil"/>
            </w:tcBorders>
            <w:shd w:val="clear" w:color="000000" w:fill="FFFFFF"/>
            <w:vAlign w:val="center"/>
            <w:hideMark/>
          </w:tcPr>
          <w:p w:rsidR="00A47351" w:rsidRPr="00734675" w:rsidRDefault="00A47351" w:rsidP="00157E23">
            <w:pPr>
              <w:jc w:val="right"/>
              <w:rPr>
                <w:rFonts w:ascii="Calibri" w:hAnsi="Calibri" w:cs="Calibri"/>
                <w:color w:val="000000"/>
                <w:sz w:val="20"/>
                <w:szCs w:val="20"/>
              </w:rPr>
            </w:pPr>
            <w:r w:rsidRPr="00734675">
              <w:rPr>
                <w:rFonts w:ascii="Calibri" w:hAnsi="Calibri" w:cs="Tahoma"/>
                <w:color w:val="000000"/>
                <w:sz w:val="20"/>
                <w:szCs w:val="20"/>
              </w:rPr>
              <w:t>$</w:t>
            </w:r>
            <w:r w:rsidR="00157E23" w:rsidRPr="00734675">
              <w:rPr>
                <w:rFonts w:ascii="Calibri" w:hAnsi="Calibri" w:cs="Tahoma"/>
                <w:color w:val="000000"/>
                <w:sz w:val="20"/>
                <w:szCs w:val="20"/>
              </w:rPr>
              <w:t>4</w:t>
            </w:r>
            <w:r w:rsidRPr="00734675">
              <w:rPr>
                <w:rFonts w:ascii="Calibri" w:hAnsi="Calibri" w:cs="Tahoma"/>
                <w:color w:val="000000"/>
                <w:sz w:val="20"/>
                <w:szCs w:val="20"/>
              </w:rPr>
              <w:t>,</w:t>
            </w:r>
            <w:r w:rsidR="00157E23" w:rsidRPr="00734675">
              <w:rPr>
                <w:rFonts w:ascii="Calibri" w:hAnsi="Calibri" w:cs="Tahoma"/>
                <w:color w:val="000000"/>
                <w:sz w:val="20"/>
                <w:szCs w:val="20"/>
              </w:rPr>
              <w:t>5</w:t>
            </w:r>
            <w:r w:rsidRPr="00734675">
              <w:rPr>
                <w:rFonts w:ascii="Calibri" w:hAnsi="Calibri" w:cs="Tahoma"/>
                <w:color w:val="000000"/>
                <w:sz w:val="20"/>
                <w:szCs w:val="20"/>
              </w:rPr>
              <w:t>00,000.00</w:t>
            </w:r>
          </w:p>
        </w:tc>
      </w:tr>
      <w:tr w:rsidR="00A47351" w:rsidRPr="00734675" w:rsidTr="00DB481A">
        <w:trPr>
          <w:trHeight w:val="30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Presentaciones de la OSY</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0.00</w:t>
            </w:r>
          </w:p>
        </w:tc>
      </w:tr>
      <w:tr w:rsidR="00A47351" w:rsidRPr="00734675" w:rsidTr="00DB481A">
        <w:trPr>
          <w:trHeight w:val="51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Ingreso por comisión venta en línea</w:t>
            </w:r>
          </w:p>
        </w:tc>
        <w:tc>
          <w:tcPr>
            <w:tcW w:w="1779" w:type="dxa"/>
            <w:tcBorders>
              <w:top w:val="nil"/>
              <w:left w:val="nil"/>
              <w:bottom w:val="nil"/>
              <w:right w:val="nil"/>
            </w:tcBorders>
            <w:shd w:val="clear" w:color="000000" w:fill="FFFFFF"/>
            <w:vAlign w:val="center"/>
            <w:hideMark/>
          </w:tcPr>
          <w:p w:rsidR="00A47351" w:rsidRPr="00734675" w:rsidRDefault="00157E23" w:rsidP="00DB481A">
            <w:pPr>
              <w:jc w:val="right"/>
              <w:rPr>
                <w:rFonts w:ascii="Calibri" w:hAnsi="Calibri" w:cs="Calibri"/>
                <w:color w:val="000000"/>
                <w:sz w:val="20"/>
                <w:szCs w:val="20"/>
              </w:rPr>
            </w:pPr>
            <w:r w:rsidRPr="00734675">
              <w:rPr>
                <w:rFonts w:ascii="Calibri" w:hAnsi="Calibri" w:cs="Tahoma"/>
                <w:color w:val="000000"/>
                <w:sz w:val="20"/>
                <w:szCs w:val="20"/>
              </w:rPr>
              <w:t>30</w:t>
            </w:r>
            <w:r w:rsidR="00A47351" w:rsidRPr="00734675">
              <w:rPr>
                <w:rFonts w:ascii="Calibri" w:hAnsi="Calibri" w:cs="Tahoma"/>
                <w:color w:val="000000"/>
                <w:sz w:val="20"/>
                <w:szCs w:val="20"/>
              </w:rPr>
              <w:t>,000.00</w:t>
            </w:r>
          </w:p>
        </w:tc>
      </w:tr>
      <w:tr w:rsidR="00A47351" w:rsidRPr="00734675" w:rsidTr="00DB481A">
        <w:trPr>
          <w:trHeight w:val="52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Ingresos por venta de álbum discográfico de la OSY</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12,000.00</w:t>
            </w:r>
          </w:p>
        </w:tc>
      </w:tr>
      <w:tr w:rsidR="00A47351" w:rsidRPr="00734675" w:rsidTr="00DB481A">
        <w:trPr>
          <w:trHeight w:val="31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Suma Otros ingresos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734675" w:rsidRDefault="00A47351" w:rsidP="00157E23">
            <w:pPr>
              <w:jc w:val="right"/>
              <w:rPr>
                <w:rFonts w:ascii="Calibri" w:hAnsi="Calibri" w:cs="Calibri"/>
                <w:color w:val="000000"/>
                <w:sz w:val="20"/>
                <w:szCs w:val="20"/>
              </w:rPr>
            </w:pPr>
            <w:r w:rsidRPr="00734675">
              <w:rPr>
                <w:rFonts w:ascii="Calibri" w:hAnsi="Calibri" w:cs="Tahoma"/>
                <w:color w:val="000000"/>
                <w:sz w:val="20"/>
                <w:szCs w:val="20"/>
              </w:rPr>
              <w:t>$</w:t>
            </w:r>
            <w:r w:rsidR="00157E23" w:rsidRPr="00734675">
              <w:rPr>
                <w:rFonts w:ascii="Calibri" w:hAnsi="Calibri" w:cs="Tahoma"/>
                <w:color w:val="000000"/>
                <w:sz w:val="20"/>
                <w:szCs w:val="20"/>
              </w:rPr>
              <w:t>4</w:t>
            </w:r>
            <w:r w:rsidRPr="00734675">
              <w:rPr>
                <w:rFonts w:ascii="Calibri" w:hAnsi="Calibri" w:cs="Tahoma"/>
                <w:color w:val="000000"/>
                <w:sz w:val="20"/>
                <w:szCs w:val="20"/>
              </w:rPr>
              <w:t>,</w:t>
            </w:r>
            <w:r w:rsidR="00157E23" w:rsidRPr="00734675">
              <w:rPr>
                <w:rFonts w:ascii="Calibri" w:hAnsi="Calibri" w:cs="Tahoma"/>
                <w:color w:val="000000"/>
                <w:sz w:val="20"/>
                <w:szCs w:val="20"/>
              </w:rPr>
              <w:t>542</w:t>
            </w:r>
            <w:r w:rsidRPr="00734675">
              <w:rPr>
                <w:rFonts w:ascii="Calibri" w:hAnsi="Calibri" w:cs="Tahoma"/>
                <w:color w:val="000000"/>
                <w:sz w:val="20"/>
                <w:szCs w:val="20"/>
              </w:rPr>
              <w:t>,000.00</w:t>
            </w:r>
          </w:p>
        </w:tc>
      </w:tr>
      <w:tr w:rsidR="00A47351" w:rsidRPr="00734675" w:rsidTr="00DB481A">
        <w:trPr>
          <w:trHeight w:val="31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 </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 </w:t>
            </w:r>
          </w:p>
        </w:tc>
      </w:tr>
      <w:tr w:rsidR="00A47351" w:rsidRPr="00734675" w:rsidTr="00DB481A">
        <w:trPr>
          <w:trHeight w:val="52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b/>
                <w:bCs/>
                <w:color w:val="000000"/>
                <w:sz w:val="20"/>
                <w:szCs w:val="20"/>
              </w:rPr>
            </w:pPr>
            <w:r w:rsidRPr="00734675">
              <w:rPr>
                <w:rFonts w:ascii="Calibri" w:hAnsi="Calibri" w:cs="Tahoma"/>
                <w:b/>
                <w:bCs/>
                <w:color w:val="000000"/>
                <w:sz w:val="20"/>
                <w:szCs w:val="20"/>
              </w:rPr>
              <w:t>SUMA INGRESOS POR VENTA DE BIENES Y SERVICIOS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734675" w:rsidRDefault="00A47351" w:rsidP="00157E23">
            <w:pPr>
              <w:jc w:val="right"/>
              <w:rPr>
                <w:rFonts w:ascii="Calibri" w:hAnsi="Calibri" w:cs="Calibri"/>
                <w:b/>
                <w:bCs/>
                <w:color w:val="000000"/>
                <w:sz w:val="20"/>
                <w:szCs w:val="20"/>
              </w:rPr>
            </w:pPr>
            <w:r w:rsidRPr="00734675">
              <w:rPr>
                <w:rFonts w:ascii="Calibri" w:hAnsi="Calibri" w:cs="Tahoma"/>
                <w:b/>
                <w:bCs/>
                <w:color w:val="000000"/>
                <w:sz w:val="20"/>
                <w:szCs w:val="20"/>
              </w:rPr>
              <w:t>$1</w:t>
            </w:r>
            <w:r w:rsidR="00157E23" w:rsidRPr="00734675">
              <w:rPr>
                <w:rFonts w:ascii="Calibri" w:hAnsi="Calibri" w:cs="Tahoma"/>
                <w:b/>
                <w:bCs/>
                <w:color w:val="000000"/>
                <w:sz w:val="20"/>
                <w:szCs w:val="20"/>
              </w:rPr>
              <w:t>8</w:t>
            </w:r>
            <w:r w:rsidRPr="00734675">
              <w:rPr>
                <w:rFonts w:ascii="Calibri" w:hAnsi="Calibri" w:cs="Tahoma"/>
                <w:b/>
                <w:bCs/>
                <w:color w:val="000000"/>
                <w:sz w:val="20"/>
                <w:szCs w:val="20"/>
              </w:rPr>
              <w:t>,</w:t>
            </w:r>
            <w:r w:rsidR="00157E23" w:rsidRPr="00734675">
              <w:rPr>
                <w:rFonts w:ascii="Calibri" w:hAnsi="Calibri" w:cs="Tahoma"/>
                <w:b/>
                <w:bCs/>
                <w:color w:val="000000"/>
                <w:sz w:val="20"/>
                <w:szCs w:val="20"/>
              </w:rPr>
              <w:t>575</w:t>
            </w:r>
            <w:r w:rsidRPr="00734675">
              <w:rPr>
                <w:rFonts w:ascii="Calibri" w:hAnsi="Calibri" w:cs="Tahoma"/>
                <w:b/>
                <w:bCs/>
                <w:color w:val="000000"/>
                <w:sz w:val="20"/>
                <w:szCs w:val="20"/>
              </w:rPr>
              <w:t>,8</w:t>
            </w:r>
            <w:r w:rsidR="00157E23" w:rsidRPr="00734675">
              <w:rPr>
                <w:rFonts w:ascii="Calibri" w:hAnsi="Calibri" w:cs="Tahoma"/>
                <w:b/>
                <w:bCs/>
                <w:color w:val="000000"/>
                <w:sz w:val="20"/>
                <w:szCs w:val="20"/>
              </w:rPr>
              <w:t>63</w:t>
            </w:r>
            <w:r w:rsidRPr="00734675">
              <w:rPr>
                <w:rFonts w:ascii="Calibri" w:hAnsi="Calibri" w:cs="Tahoma"/>
                <w:b/>
                <w:bCs/>
                <w:color w:val="000000"/>
                <w:sz w:val="20"/>
                <w:szCs w:val="20"/>
              </w:rPr>
              <w:t>.00</w:t>
            </w:r>
          </w:p>
        </w:tc>
      </w:tr>
      <w:tr w:rsidR="00A47351" w:rsidRPr="00734675" w:rsidTr="00DB481A">
        <w:trPr>
          <w:trHeight w:val="76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b/>
                <w:bCs/>
                <w:color w:val="000000"/>
                <w:sz w:val="20"/>
                <w:szCs w:val="20"/>
                <w:u w:val="single"/>
              </w:rPr>
            </w:pPr>
            <w:r w:rsidRPr="00734675">
              <w:rPr>
                <w:rFonts w:ascii="Calibri" w:hAnsi="Calibri" w:cs="Tahoma"/>
                <w:b/>
                <w:bCs/>
                <w:color w:val="000000"/>
                <w:sz w:val="20"/>
                <w:szCs w:val="20"/>
                <w:u w:val="single"/>
              </w:rPr>
              <w:t>TRANSFERENCIAS AL RESTO DEL SECTOR PÚBLICO</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 </w:t>
            </w:r>
          </w:p>
        </w:tc>
      </w:tr>
      <w:tr w:rsidR="00A47351" w:rsidRPr="00734675" w:rsidTr="00DB481A">
        <w:trPr>
          <w:trHeight w:val="76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Transferencias internas y asignaciones</w:t>
            </w:r>
          </w:p>
        </w:tc>
        <w:tc>
          <w:tcPr>
            <w:tcW w:w="1779"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color w:val="000000"/>
                <w:sz w:val="20"/>
                <w:szCs w:val="20"/>
              </w:rPr>
            </w:pPr>
            <w:r w:rsidRPr="00734675">
              <w:rPr>
                <w:rFonts w:ascii="Calibri" w:hAnsi="Calibri" w:cs="Tahoma"/>
                <w:color w:val="000000"/>
                <w:sz w:val="20"/>
                <w:szCs w:val="20"/>
              </w:rPr>
              <w:t> </w:t>
            </w:r>
          </w:p>
        </w:tc>
      </w:tr>
      <w:tr w:rsidR="00A47351" w:rsidRPr="00734675" w:rsidTr="00DB481A">
        <w:trPr>
          <w:trHeight w:val="31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color w:val="000000"/>
                <w:sz w:val="20"/>
                <w:szCs w:val="20"/>
              </w:rPr>
            </w:pPr>
            <w:r w:rsidRPr="00734675">
              <w:rPr>
                <w:rFonts w:ascii="Calibri" w:hAnsi="Calibri" w:cs="Tahoma"/>
                <w:color w:val="000000"/>
                <w:sz w:val="20"/>
                <w:szCs w:val="20"/>
              </w:rPr>
              <w:t>Subsidio programado</w:t>
            </w:r>
          </w:p>
        </w:tc>
        <w:tc>
          <w:tcPr>
            <w:tcW w:w="1779" w:type="dxa"/>
            <w:tcBorders>
              <w:top w:val="nil"/>
              <w:left w:val="nil"/>
              <w:bottom w:val="nil"/>
              <w:right w:val="nil"/>
            </w:tcBorders>
            <w:shd w:val="clear" w:color="000000" w:fill="FFFFFF"/>
            <w:vAlign w:val="center"/>
            <w:hideMark/>
          </w:tcPr>
          <w:p w:rsidR="00A47351" w:rsidRPr="00734675" w:rsidRDefault="00A47351" w:rsidP="00157E23">
            <w:pPr>
              <w:jc w:val="right"/>
              <w:rPr>
                <w:rFonts w:ascii="Calibri" w:hAnsi="Calibri" w:cs="Calibri"/>
                <w:color w:val="000000"/>
                <w:sz w:val="20"/>
                <w:szCs w:val="20"/>
              </w:rPr>
            </w:pPr>
            <w:r w:rsidRPr="00734675">
              <w:rPr>
                <w:rFonts w:ascii="Calibri" w:hAnsi="Calibri" w:cs="Tahoma"/>
                <w:color w:val="000000"/>
                <w:sz w:val="20"/>
                <w:szCs w:val="20"/>
              </w:rPr>
              <w:t>$</w:t>
            </w:r>
            <w:r w:rsidR="00157E23" w:rsidRPr="00734675">
              <w:rPr>
                <w:rFonts w:ascii="Calibri" w:hAnsi="Calibri" w:cs="Tahoma"/>
                <w:color w:val="000000"/>
                <w:sz w:val="20"/>
                <w:szCs w:val="20"/>
              </w:rPr>
              <w:t>12</w:t>
            </w:r>
            <w:r w:rsidRPr="00734675">
              <w:rPr>
                <w:rFonts w:ascii="Calibri" w:hAnsi="Calibri" w:cs="Tahoma"/>
                <w:color w:val="000000"/>
                <w:sz w:val="20"/>
                <w:szCs w:val="20"/>
              </w:rPr>
              <w:t>,</w:t>
            </w:r>
            <w:r w:rsidR="00157E23" w:rsidRPr="00734675">
              <w:rPr>
                <w:rFonts w:ascii="Calibri" w:hAnsi="Calibri" w:cs="Tahoma"/>
                <w:color w:val="000000"/>
                <w:sz w:val="20"/>
                <w:szCs w:val="20"/>
              </w:rPr>
              <w:t>5</w:t>
            </w:r>
            <w:r w:rsidRPr="00734675">
              <w:rPr>
                <w:rFonts w:ascii="Calibri" w:hAnsi="Calibri" w:cs="Tahoma"/>
                <w:color w:val="000000"/>
                <w:sz w:val="20"/>
                <w:szCs w:val="20"/>
              </w:rPr>
              <w:t>00,000.00</w:t>
            </w:r>
          </w:p>
        </w:tc>
      </w:tr>
      <w:tr w:rsidR="00A47351" w:rsidRPr="00734675" w:rsidTr="00DB481A">
        <w:trPr>
          <w:trHeight w:val="780"/>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rPr>
                <w:rFonts w:ascii="Calibri" w:hAnsi="Calibri" w:cs="Calibri"/>
                <w:b/>
                <w:bCs/>
                <w:color w:val="000000"/>
                <w:sz w:val="20"/>
                <w:szCs w:val="20"/>
              </w:rPr>
            </w:pPr>
            <w:r w:rsidRPr="00734675">
              <w:rPr>
                <w:rFonts w:ascii="Calibri" w:hAnsi="Calibri" w:cs="Tahoma"/>
                <w:b/>
                <w:bCs/>
                <w:color w:val="000000"/>
                <w:sz w:val="20"/>
                <w:szCs w:val="20"/>
              </w:rPr>
              <w:t>SUMA PARTICIPACIONES, APORTACIONES, TRANSFERENCIAS</w:t>
            </w:r>
          </w:p>
        </w:tc>
        <w:tc>
          <w:tcPr>
            <w:tcW w:w="1779" w:type="dxa"/>
            <w:tcBorders>
              <w:top w:val="single" w:sz="8" w:space="0" w:color="auto"/>
              <w:left w:val="nil"/>
              <w:bottom w:val="single" w:sz="8" w:space="0" w:color="auto"/>
              <w:right w:val="nil"/>
            </w:tcBorders>
            <w:shd w:val="clear" w:color="000000" w:fill="FFFFFF"/>
            <w:vAlign w:val="center"/>
            <w:hideMark/>
          </w:tcPr>
          <w:p w:rsidR="00A47351" w:rsidRPr="00734675" w:rsidRDefault="00A47351" w:rsidP="00157E23">
            <w:pPr>
              <w:jc w:val="right"/>
              <w:rPr>
                <w:rFonts w:ascii="Calibri" w:hAnsi="Calibri" w:cs="Calibri"/>
                <w:b/>
                <w:bCs/>
                <w:color w:val="000000"/>
                <w:sz w:val="20"/>
                <w:szCs w:val="20"/>
              </w:rPr>
            </w:pPr>
            <w:r w:rsidRPr="00734675">
              <w:rPr>
                <w:rFonts w:ascii="Calibri" w:hAnsi="Calibri" w:cs="Tahoma"/>
                <w:b/>
                <w:bCs/>
                <w:color w:val="000000"/>
                <w:sz w:val="20"/>
                <w:szCs w:val="20"/>
              </w:rPr>
              <w:t>$</w:t>
            </w:r>
            <w:r w:rsidR="00157E23" w:rsidRPr="00734675">
              <w:rPr>
                <w:rFonts w:ascii="Calibri" w:hAnsi="Calibri" w:cs="Tahoma"/>
                <w:b/>
                <w:bCs/>
                <w:color w:val="000000"/>
                <w:sz w:val="20"/>
                <w:szCs w:val="20"/>
              </w:rPr>
              <w:t>12</w:t>
            </w:r>
            <w:r w:rsidRPr="00734675">
              <w:rPr>
                <w:rFonts w:ascii="Calibri" w:hAnsi="Calibri" w:cs="Tahoma"/>
                <w:b/>
                <w:bCs/>
                <w:color w:val="000000"/>
                <w:sz w:val="20"/>
                <w:szCs w:val="20"/>
              </w:rPr>
              <w:t>,</w:t>
            </w:r>
            <w:r w:rsidR="00157E23" w:rsidRPr="00734675">
              <w:rPr>
                <w:rFonts w:ascii="Calibri" w:hAnsi="Calibri" w:cs="Tahoma"/>
                <w:b/>
                <w:bCs/>
                <w:color w:val="000000"/>
                <w:sz w:val="20"/>
                <w:szCs w:val="20"/>
              </w:rPr>
              <w:t>5</w:t>
            </w:r>
            <w:r w:rsidRPr="00734675">
              <w:rPr>
                <w:rFonts w:ascii="Calibri" w:hAnsi="Calibri" w:cs="Tahoma"/>
                <w:b/>
                <w:bCs/>
                <w:color w:val="000000"/>
                <w:sz w:val="20"/>
                <w:szCs w:val="20"/>
              </w:rPr>
              <w:t>00,000.00</w:t>
            </w:r>
          </w:p>
        </w:tc>
      </w:tr>
      <w:tr w:rsidR="00A47351" w:rsidRPr="00734675" w:rsidTr="00DB481A">
        <w:trPr>
          <w:trHeight w:val="315"/>
          <w:jc w:val="center"/>
        </w:trPr>
        <w:tc>
          <w:tcPr>
            <w:tcW w:w="3906" w:type="dxa"/>
            <w:tcBorders>
              <w:top w:val="nil"/>
              <w:left w:val="nil"/>
              <w:bottom w:val="nil"/>
              <w:right w:val="nil"/>
            </w:tcBorders>
            <w:shd w:val="clear" w:color="000000" w:fill="FFFFFF"/>
            <w:vAlign w:val="center"/>
            <w:hideMark/>
          </w:tcPr>
          <w:p w:rsidR="00A47351" w:rsidRPr="00734675" w:rsidRDefault="00A47351" w:rsidP="00DB481A">
            <w:pPr>
              <w:jc w:val="right"/>
              <w:rPr>
                <w:rFonts w:ascii="Calibri" w:hAnsi="Calibri" w:cs="Calibri"/>
                <w:b/>
                <w:bCs/>
                <w:color w:val="000000"/>
                <w:sz w:val="20"/>
                <w:szCs w:val="20"/>
              </w:rPr>
            </w:pPr>
            <w:r w:rsidRPr="00734675">
              <w:rPr>
                <w:rFonts w:ascii="Calibri" w:hAnsi="Calibri" w:cs="Tahoma"/>
                <w:b/>
                <w:bCs/>
                <w:color w:val="000000"/>
                <w:sz w:val="20"/>
                <w:szCs w:val="20"/>
              </w:rPr>
              <w:t>GRAN TOTAL</w:t>
            </w:r>
          </w:p>
        </w:tc>
        <w:tc>
          <w:tcPr>
            <w:tcW w:w="1779" w:type="dxa"/>
            <w:tcBorders>
              <w:top w:val="nil"/>
              <w:left w:val="nil"/>
              <w:bottom w:val="double" w:sz="6" w:space="0" w:color="auto"/>
              <w:right w:val="nil"/>
            </w:tcBorders>
            <w:shd w:val="clear" w:color="000000" w:fill="FFFFFF"/>
            <w:vAlign w:val="center"/>
            <w:hideMark/>
          </w:tcPr>
          <w:p w:rsidR="00A47351" w:rsidRPr="00734675" w:rsidRDefault="00A47351" w:rsidP="00453ABC">
            <w:pPr>
              <w:jc w:val="right"/>
              <w:rPr>
                <w:rFonts w:ascii="Calibri" w:hAnsi="Calibri" w:cs="Calibri"/>
                <w:b/>
                <w:bCs/>
                <w:color w:val="000000"/>
                <w:sz w:val="20"/>
                <w:szCs w:val="20"/>
              </w:rPr>
            </w:pPr>
            <w:r w:rsidRPr="00734675">
              <w:rPr>
                <w:rFonts w:ascii="Calibri" w:hAnsi="Calibri" w:cs="Tahoma"/>
                <w:b/>
                <w:bCs/>
                <w:color w:val="000000"/>
                <w:sz w:val="20"/>
                <w:szCs w:val="20"/>
              </w:rPr>
              <w:t>$</w:t>
            </w:r>
            <w:r w:rsidR="00453ABC" w:rsidRPr="00734675">
              <w:rPr>
                <w:rFonts w:ascii="Calibri" w:hAnsi="Calibri" w:cs="Tahoma"/>
                <w:b/>
                <w:bCs/>
                <w:color w:val="000000"/>
                <w:sz w:val="20"/>
                <w:szCs w:val="20"/>
              </w:rPr>
              <w:t>31,075,863.00</w:t>
            </w:r>
          </w:p>
        </w:tc>
      </w:tr>
    </w:tbl>
    <w:p w:rsidR="00A47351" w:rsidRPr="00734675" w:rsidRDefault="00A47351" w:rsidP="00A47351">
      <w:pPr>
        <w:spacing w:line="360" w:lineRule="auto"/>
        <w:jc w:val="both"/>
        <w:rPr>
          <w:rFonts w:ascii="Calibri" w:hAnsi="Calibri"/>
          <w:sz w:val="20"/>
          <w:szCs w:val="20"/>
        </w:rPr>
      </w:pPr>
    </w:p>
    <w:p w:rsidR="00A47351" w:rsidRDefault="00A47351" w:rsidP="00A47351">
      <w:pPr>
        <w:jc w:val="both"/>
        <w:rPr>
          <w:rFonts w:ascii="Calibri" w:hAnsi="Calibri"/>
          <w:sz w:val="20"/>
          <w:szCs w:val="20"/>
        </w:rPr>
      </w:pPr>
    </w:p>
    <w:p w:rsidR="00134274" w:rsidRDefault="00134274" w:rsidP="00A47351">
      <w:pPr>
        <w:jc w:val="both"/>
        <w:rPr>
          <w:rFonts w:ascii="Calibri" w:hAnsi="Calibri"/>
          <w:sz w:val="20"/>
          <w:szCs w:val="20"/>
        </w:rPr>
      </w:pPr>
    </w:p>
    <w:p w:rsidR="00134274" w:rsidRPr="00734675" w:rsidRDefault="00134274" w:rsidP="00A47351">
      <w:pPr>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Información sobre la Deuda y el Reporte Analítico de la Deuda.</w:t>
      </w:r>
    </w:p>
    <w:p w:rsidR="00A47351" w:rsidRPr="00734675" w:rsidRDefault="00A47351" w:rsidP="00A47351">
      <w:pPr>
        <w:jc w:val="both"/>
        <w:rPr>
          <w:rFonts w:ascii="Calibri" w:hAnsi="Calibri"/>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El Fideicomiso Garante de la Orquesta Sinfónica de Yucatán no ha generado información alguna sobre deuda pública por el periodo del 1</w:t>
      </w:r>
      <w:r w:rsidR="007011D8"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xml:space="preserve">. </w:t>
      </w:r>
    </w:p>
    <w:p w:rsidR="00A47351" w:rsidRPr="00734675" w:rsidRDefault="00A47351" w:rsidP="00A47351">
      <w:pPr>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Calificaciones otorgadas.</w:t>
      </w:r>
    </w:p>
    <w:p w:rsidR="00A47351" w:rsidRPr="00734675" w:rsidRDefault="00A47351" w:rsidP="00A47351">
      <w:pPr>
        <w:jc w:val="both"/>
        <w:rPr>
          <w:rFonts w:ascii="Calibri" w:hAnsi="Calibri"/>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El Fideicomiso Garante de la Orquesta Sinfónica de Yucatán no ha obtenido calificación crediticia alguna por el periodo del 1</w:t>
      </w:r>
      <w:r w:rsidR="007011D8"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xml:space="preserve">. </w:t>
      </w:r>
    </w:p>
    <w:p w:rsidR="00A47351" w:rsidRPr="00734675" w:rsidRDefault="00A47351" w:rsidP="00A47351">
      <w:pPr>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Proceso de Mejora.</w:t>
      </w:r>
    </w:p>
    <w:p w:rsidR="00A47351" w:rsidRPr="00734675" w:rsidRDefault="00A47351" w:rsidP="00A47351">
      <w:pPr>
        <w:jc w:val="both"/>
        <w:rPr>
          <w:rFonts w:ascii="Calibri" w:hAnsi="Calibri"/>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Principales políticas de control interno:</w:t>
      </w:r>
    </w:p>
    <w:p w:rsidR="00A47351" w:rsidRPr="00734675" w:rsidRDefault="00A47351" w:rsidP="00A47351">
      <w:pPr>
        <w:jc w:val="both"/>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A47351" w:rsidRPr="00734675" w:rsidRDefault="00A47351" w:rsidP="00A47351">
      <w:pPr>
        <w:pStyle w:val="Prrafodelista"/>
        <w:tabs>
          <w:tab w:val="left" w:pos="284"/>
        </w:tabs>
        <w:ind w:left="0"/>
        <w:jc w:val="both"/>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Establecer los indicadores de desempeño, los cuales deberán ser evaluados en períodos trimestrales a fin de determinar la eficiencia y eficacia en el logro de los objetivos.</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lastRenderedPageBreak/>
        <w:t>Implementar acciones de inducción al personal de nuevo ingreso y capacitación al personal que labora en Fideicomiso Garante de la Orquesta Sinfónica de Yucatán.</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Llevar el control de asistencia diaria, mediante el registro de entradas y salidas conforme a las disposiciones legales y normativas aplicables.</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Cumplir con los requerimientos establecidos en la Ley de Adquisiciones, Arrendamientos y Prestaciones de Servicios relacionados con Bienes Muebles y demás legislación aplicable.</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 xml:space="preserve">Elaborar cartas de resguardos de bienes muebles al personal asignado, describiendo el tipo de bien y el número de inventario.  </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Etiquetar los nuevos bienes muebles adquiridos dentro de los treinta días.</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Efectuar conciliaciones bancarias, al menos una vez al mes, a fin de analizar los movimientos bancarios.</w:t>
      </w:r>
    </w:p>
    <w:p w:rsidR="00A47351" w:rsidRPr="00734675" w:rsidRDefault="00A47351" w:rsidP="00A47351">
      <w:pPr>
        <w:pStyle w:val="Prrafodelista"/>
        <w:rPr>
          <w:rFonts w:ascii="Calibri" w:hAnsi="Calibri"/>
          <w:sz w:val="20"/>
          <w:szCs w:val="20"/>
        </w:rPr>
      </w:pPr>
    </w:p>
    <w:p w:rsidR="00A47351" w:rsidRPr="00734675" w:rsidRDefault="00A47351" w:rsidP="00A47351">
      <w:pPr>
        <w:pStyle w:val="Prrafodelista"/>
        <w:numPr>
          <w:ilvl w:val="0"/>
          <w:numId w:val="33"/>
        </w:numPr>
        <w:tabs>
          <w:tab w:val="left" w:pos="284"/>
        </w:tabs>
        <w:ind w:left="0" w:firstLine="0"/>
        <w:jc w:val="both"/>
        <w:rPr>
          <w:rFonts w:ascii="Calibri" w:hAnsi="Calibri"/>
          <w:sz w:val="20"/>
          <w:szCs w:val="20"/>
        </w:rPr>
      </w:pPr>
      <w:r w:rsidRPr="00734675">
        <w:rPr>
          <w:rFonts w:ascii="Calibri" w:hAnsi="Calibri"/>
          <w:sz w:val="20"/>
          <w:szCs w:val="20"/>
        </w:rPr>
        <w:t xml:space="preserve">Contar con firmas mancomunadas para el uso de cuentas bancarias. </w:t>
      </w:r>
    </w:p>
    <w:p w:rsidR="00A47351" w:rsidRDefault="00A47351" w:rsidP="00A47351">
      <w:pPr>
        <w:jc w:val="both"/>
        <w:rPr>
          <w:rFonts w:ascii="Calibri" w:hAnsi="Calibri"/>
          <w:sz w:val="20"/>
          <w:szCs w:val="20"/>
        </w:rPr>
      </w:pPr>
    </w:p>
    <w:p w:rsidR="00134274" w:rsidRDefault="00134274" w:rsidP="00A47351">
      <w:pPr>
        <w:jc w:val="both"/>
        <w:rPr>
          <w:rFonts w:ascii="Calibri" w:hAnsi="Calibri"/>
          <w:sz w:val="20"/>
          <w:szCs w:val="20"/>
        </w:rPr>
      </w:pPr>
    </w:p>
    <w:p w:rsidR="00134274" w:rsidRPr="00734675" w:rsidRDefault="00134274" w:rsidP="00A47351">
      <w:pPr>
        <w:jc w:val="both"/>
        <w:rPr>
          <w:rFonts w:ascii="Calibri" w:hAnsi="Calibri"/>
          <w:sz w:val="20"/>
          <w:szCs w:val="20"/>
        </w:rPr>
      </w:pPr>
    </w:p>
    <w:p w:rsidR="00A47351" w:rsidRPr="00734675" w:rsidRDefault="00A47351" w:rsidP="00A47351">
      <w:pPr>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Información por Segmentos.</w:t>
      </w:r>
    </w:p>
    <w:p w:rsidR="00A47351" w:rsidRPr="00734675" w:rsidRDefault="00A47351" w:rsidP="00A47351">
      <w:pPr>
        <w:jc w:val="both"/>
        <w:rPr>
          <w:rFonts w:ascii="Calibri" w:hAnsi="Calibri"/>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Durante el período del 1</w:t>
      </w:r>
      <w:r w:rsidR="007011D8" w:rsidRPr="00734675">
        <w:rPr>
          <w:rFonts w:ascii="Calibri" w:hAnsi="Calibri"/>
          <w:sz w:val="20"/>
          <w:szCs w:val="20"/>
        </w:rPr>
        <w:t xml:space="preserve"> de Enero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Pr="00734675">
        <w:rPr>
          <w:rFonts w:ascii="Calibri" w:hAnsi="Calibri"/>
          <w:sz w:val="20"/>
          <w:szCs w:val="20"/>
        </w:rPr>
        <w:t>, los recursos transferidos por la Secretaría de Administración y Finanzas y los ingresos recaudados por el Fideicomiso (recursos propios), han sido aplicados de manera correcta y respetando las disposiciones legales vigentes.</w:t>
      </w:r>
    </w:p>
    <w:p w:rsidR="00A47351" w:rsidRPr="00734675" w:rsidRDefault="00A47351" w:rsidP="00A47351">
      <w:pPr>
        <w:jc w:val="both"/>
        <w:rPr>
          <w:rFonts w:ascii="Calibri" w:hAnsi="Calibri"/>
          <w:sz w:val="20"/>
          <w:szCs w:val="20"/>
        </w:rPr>
      </w:pPr>
    </w:p>
    <w:p w:rsidR="0088599D" w:rsidRPr="00734675" w:rsidRDefault="0088599D" w:rsidP="0088599D">
      <w:pPr>
        <w:jc w:val="both"/>
        <w:rPr>
          <w:rFonts w:ascii="Calibri" w:hAnsi="Calibri"/>
          <w:sz w:val="20"/>
          <w:szCs w:val="20"/>
        </w:rPr>
      </w:pPr>
      <w:r w:rsidRPr="00734675">
        <w:rPr>
          <w:rFonts w:ascii="Calibri" w:hAnsi="Calibri"/>
          <w:sz w:val="20"/>
          <w:szCs w:val="20"/>
        </w:rPr>
        <w:t>Para llevar a cabo las actividades que fueron programadas por la Orquesta Sinfónica de Yucatán en el año 2022, se erogó la cantidad de $375,990.55, con el fin de realizar los eventos artísticos y la promoción de los conciertos en los medios electrónicos e impresos. Para tal efecto, se realizaron 8 conciertos presenciales de la temporada XXXVII Enero-Junio de la Orquesta Sinfónica de Yucatán, contando con una asistencia total de 3,833 personas. El promedio de asistencia por concierto es de 479 personas, la meta establecida en el Programa Operativo Anual No. 12105-Proyecto de Presentaciones de la Orquesta Sinfónica de Yucatán, que asciende a 225 personas por evento.</w:t>
      </w:r>
    </w:p>
    <w:p w:rsidR="0060248C" w:rsidRDefault="0060248C" w:rsidP="00A47351">
      <w:pPr>
        <w:jc w:val="both"/>
        <w:rPr>
          <w:rFonts w:ascii="Calibri" w:hAnsi="Calibri"/>
          <w:sz w:val="20"/>
          <w:szCs w:val="20"/>
        </w:rPr>
      </w:pPr>
    </w:p>
    <w:p w:rsidR="00134274" w:rsidRDefault="00134274" w:rsidP="00A47351">
      <w:pPr>
        <w:jc w:val="both"/>
        <w:rPr>
          <w:rFonts w:ascii="Calibri" w:hAnsi="Calibri"/>
          <w:sz w:val="20"/>
          <w:szCs w:val="20"/>
        </w:rPr>
      </w:pPr>
    </w:p>
    <w:p w:rsidR="00134274" w:rsidRPr="00734675" w:rsidRDefault="00134274" w:rsidP="00A47351">
      <w:pPr>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Eventos Posteriores al Cierre.</w:t>
      </w:r>
    </w:p>
    <w:p w:rsidR="00A47351" w:rsidRPr="00734675" w:rsidRDefault="00A47351" w:rsidP="00A47351">
      <w:pPr>
        <w:jc w:val="both"/>
        <w:rPr>
          <w:rFonts w:ascii="Calibri" w:hAnsi="Calibri"/>
          <w:sz w:val="20"/>
          <w:szCs w:val="20"/>
        </w:rPr>
      </w:pPr>
    </w:p>
    <w:p w:rsidR="00A47351" w:rsidRPr="00734675" w:rsidRDefault="00A47351" w:rsidP="00A47351">
      <w:pPr>
        <w:jc w:val="both"/>
        <w:rPr>
          <w:rFonts w:ascii="Calibri" w:hAnsi="Calibri"/>
          <w:sz w:val="20"/>
          <w:szCs w:val="20"/>
        </w:rPr>
      </w:pPr>
      <w:r w:rsidRPr="00734675">
        <w:rPr>
          <w:rFonts w:ascii="Calibri" w:hAnsi="Calibri"/>
          <w:sz w:val="20"/>
          <w:szCs w:val="20"/>
        </w:rPr>
        <w:t xml:space="preserve">El Fideicomiso Garante de la Orquesta Sinfónica de Yucatán no ha registrado operación alguna, posterior al cierre contable de la información contable, presupuestal de fecha </w:t>
      </w:r>
      <w:r w:rsidR="001B7FE1" w:rsidRPr="00734675">
        <w:rPr>
          <w:rFonts w:ascii="Calibri" w:hAnsi="Calibri"/>
          <w:sz w:val="20"/>
          <w:szCs w:val="20"/>
        </w:rPr>
        <w:t>28 de febrero de 2022</w:t>
      </w:r>
      <w:r w:rsidRPr="00734675">
        <w:rPr>
          <w:rFonts w:ascii="Calibri" w:hAnsi="Calibri"/>
          <w:sz w:val="20"/>
          <w:szCs w:val="20"/>
        </w:rPr>
        <w:t xml:space="preserve">.  </w:t>
      </w:r>
    </w:p>
    <w:p w:rsidR="007B669C" w:rsidRPr="00734675" w:rsidRDefault="007B669C" w:rsidP="00A47351">
      <w:pPr>
        <w:jc w:val="both"/>
        <w:rPr>
          <w:rFonts w:ascii="Calibri" w:hAnsi="Calibri"/>
          <w:sz w:val="20"/>
          <w:szCs w:val="20"/>
        </w:rPr>
      </w:pPr>
    </w:p>
    <w:p w:rsidR="00A47351" w:rsidRPr="00734675" w:rsidRDefault="00A47351" w:rsidP="00A47351">
      <w:pPr>
        <w:pStyle w:val="Prrafodelista"/>
        <w:numPr>
          <w:ilvl w:val="0"/>
          <w:numId w:val="28"/>
        </w:numPr>
        <w:tabs>
          <w:tab w:val="left" w:pos="426"/>
        </w:tabs>
        <w:ind w:left="0" w:firstLine="0"/>
        <w:rPr>
          <w:rFonts w:ascii="Calibri" w:hAnsi="Calibri"/>
          <w:b/>
          <w:sz w:val="20"/>
          <w:szCs w:val="20"/>
        </w:rPr>
      </w:pPr>
      <w:r w:rsidRPr="00734675">
        <w:rPr>
          <w:rFonts w:ascii="Calibri" w:hAnsi="Calibri"/>
          <w:b/>
          <w:sz w:val="20"/>
          <w:szCs w:val="20"/>
        </w:rPr>
        <w:t>Partes relacionadas.</w:t>
      </w:r>
    </w:p>
    <w:p w:rsidR="00A47351" w:rsidRPr="00734675" w:rsidRDefault="00A47351" w:rsidP="003323E0">
      <w:pPr>
        <w:pStyle w:val="Prrafodelista"/>
        <w:tabs>
          <w:tab w:val="left" w:pos="426"/>
        </w:tabs>
        <w:ind w:left="426" w:hanging="426"/>
        <w:rPr>
          <w:rFonts w:ascii="Calibri" w:hAnsi="Calibri"/>
          <w:b/>
          <w:sz w:val="20"/>
          <w:szCs w:val="20"/>
        </w:rPr>
      </w:pPr>
    </w:p>
    <w:p w:rsidR="00A47351" w:rsidRPr="00734675" w:rsidRDefault="00A47351" w:rsidP="00A47351">
      <w:pPr>
        <w:autoSpaceDE w:val="0"/>
        <w:jc w:val="both"/>
        <w:rPr>
          <w:rFonts w:ascii="Calibri" w:hAnsi="Calibri"/>
          <w:sz w:val="20"/>
          <w:szCs w:val="20"/>
        </w:rPr>
      </w:pPr>
      <w:r w:rsidRPr="00734675">
        <w:rPr>
          <w:rFonts w:ascii="Calibri" w:hAnsi="Calibri"/>
          <w:sz w:val="20"/>
          <w:szCs w:val="20"/>
        </w:rPr>
        <w:t>Se manifiesta que no existen partes relacionadas que pudieran ejercer influencia significativa sobre la toma de decisiones y financieras y operativas.</w:t>
      </w: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134274" w:rsidRDefault="00134274" w:rsidP="00A47351">
      <w:pPr>
        <w:pStyle w:val="Textoindependiente2"/>
        <w:tabs>
          <w:tab w:val="left" w:pos="7965"/>
        </w:tabs>
        <w:rPr>
          <w:rFonts w:ascii="Calibri" w:hAnsi="Calibri"/>
          <w:sz w:val="20"/>
          <w:szCs w:val="20"/>
        </w:rPr>
      </w:pPr>
    </w:p>
    <w:p w:rsidR="00A47351" w:rsidRPr="00734675" w:rsidRDefault="00A47351" w:rsidP="00A47351">
      <w:pPr>
        <w:pStyle w:val="Textoindependiente2"/>
        <w:tabs>
          <w:tab w:val="left" w:pos="7965"/>
        </w:tabs>
        <w:rPr>
          <w:rFonts w:ascii="Calibri" w:hAnsi="Calibri"/>
          <w:sz w:val="20"/>
          <w:szCs w:val="20"/>
        </w:rPr>
      </w:pPr>
      <w:bookmarkStart w:id="0" w:name="_GoBack"/>
      <w:bookmarkEnd w:id="0"/>
      <w:r w:rsidRPr="00734675">
        <w:rPr>
          <w:rFonts w:ascii="Calibri" w:hAnsi="Calibri"/>
          <w:sz w:val="20"/>
          <w:szCs w:val="20"/>
        </w:rPr>
        <w:lastRenderedPageBreak/>
        <w:tab/>
      </w:r>
    </w:p>
    <w:p w:rsidR="00A47351" w:rsidRPr="00734675" w:rsidRDefault="00A47351" w:rsidP="00A47351">
      <w:pPr>
        <w:jc w:val="both"/>
        <w:rPr>
          <w:rFonts w:ascii="Calibri" w:hAnsi="Calibri"/>
          <w:sz w:val="20"/>
          <w:szCs w:val="20"/>
        </w:rPr>
      </w:pPr>
      <w:r w:rsidRPr="00734675">
        <w:rPr>
          <w:rFonts w:ascii="Calibri" w:hAnsi="Calibri"/>
          <w:sz w:val="20"/>
          <w:szCs w:val="20"/>
        </w:rPr>
        <w:t>Estas notas son parte integrante de los estados financiero</w:t>
      </w:r>
      <w:r w:rsidR="007011D8" w:rsidRPr="00734675">
        <w:rPr>
          <w:rFonts w:ascii="Calibri" w:hAnsi="Calibri"/>
          <w:sz w:val="20"/>
          <w:szCs w:val="20"/>
        </w:rPr>
        <w:t xml:space="preserve">s </w:t>
      </w:r>
      <w:r w:rsidR="00F66D6B" w:rsidRPr="00734675">
        <w:rPr>
          <w:rFonts w:ascii="Calibri" w:hAnsi="Calibri"/>
          <w:sz w:val="20"/>
          <w:szCs w:val="20"/>
        </w:rPr>
        <w:t xml:space="preserve">al </w:t>
      </w:r>
      <w:r w:rsidR="001B7FE1" w:rsidRPr="00734675">
        <w:rPr>
          <w:rFonts w:ascii="Calibri" w:hAnsi="Calibri"/>
          <w:sz w:val="20"/>
          <w:szCs w:val="20"/>
        </w:rPr>
        <w:t>28 de febrero de 2022</w:t>
      </w:r>
      <w:r w:rsidR="00544920" w:rsidRPr="00734675">
        <w:rPr>
          <w:rFonts w:ascii="Calibri" w:hAnsi="Calibri"/>
          <w:sz w:val="20"/>
          <w:szCs w:val="20"/>
        </w:rPr>
        <w:t>.</w:t>
      </w:r>
    </w:p>
    <w:p w:rsidR="00A47351" w:rsidRPr="00734675" w:rsidRDefault="00A47351" w:rsidP="00A47351">
      <w:pPr>
        <w:tabs>
          <w:tab w:val="left" w:pos="2475"/>
        </w:tabs>
        <w:jc w:val="both"/>
        <w:rPr>
          <w:rFonts w:ascii="Calibri" w:hAnsi="Calibri"/>
          <w:sz w:val="20"/>
          <w:szCs w:val="20"/>
        </w:rPr>
      </w:pPr>
      <w:r w:rsidRPr="00734675">
        <w:rPr>
          <w:rFonts w:ascii="Calibri" w:hAnsi="Calibri"/>
          <w:sz w:val="20"/>
          <w:szCs w:val="20"/>
        </w:rPr>
        <w:tab/>
      </w:r>
    </w:p>
    <w:p w:rsidR="00E516EB" w:rsidRPr="00734675" w:rsidRDefault="00E516EB" w:rsidP="00E516EB">
      <w:pPr>
        <w:rPr>
          <w:rStyle w:val="nfasis"/>
        </w:rPr>
      </w:pPr>
    </w:p>
    <w:p w:rsidR="00764803" w:rsidRPr="00734675" w:rsidRDefault="00764803" w:rsidP="00764803">
      <w:pPr>
        <w:tabs>
          <w:tab w:val="left" w:pos="2475"/>
        </w:tabs>
        <w:jc w:val="both"/>
        <w:rPr>
          <w:rFonts w:ascii="Calibri" w:hAnsi="Calibri"/>
          <w:sz w:val="20"/>
          <w:szCs w:val="20"/>
        </w:rPr>
      </w:pPr>
      <w:r w:rsidRPr="00734675">
        <w:rPr>
          <w:rFonts w:ascii="Calibri" w:hAnsi="Calibri"/>
          <w:sz w:val="20"/>
          <w:szCs w:val="20"/>
        </w:rPr>
        <w:tab/>
      </w:r>
    </w:p>
    <w:p w:rsidR="008B5DDB" w:rsidRPr="00734675" w:rsidRDefault="008B5DDB" w:rsidP="00510166">
      <w:pPr>
        <w:tabs>
          <w:tab w:val="left" w:pos="2475"/>
        </w:tabs>
        <w:jc w:val="both"/>
        <w:rPr>
          <w:rFonts w:ascii="Calibri" w:hAnsi="Calibri"/>
          <w:sz w:val="20"/>
          <w:szCs w:val="20"/>
        </w:rPr>
      </w:pPr>
    </w:p>
    <w:p w:rsidR="00A46F71" w:rsidRPr="00734675" w:rsidRDefault="00A46F71" w:rsidP="0092234B">
      <w:pPr>
        <w:jc w:val="center"/>
        <w:rPr>
          <w:rFonts w:ascii="Calibri" w:hAnsi="Calibri"/>
          <w:sz w:val="20"/>
          <w:szCs w:val="20"/>
        </w:rPr>
      </w:pPr>
      <w:r w:rsidRPr="00734675">
        <w:rPr>
          <w:rFonts w:ascii="Calibri" w:hAnsi="Calibri"/>
          <w:sz w:val="20"/>
          <w:szCs w:val="20"/>
        </w:rPr>
        <w:t>“</w:t>
      </w:r>
      <w:r w:rsidR="0092234B" w:rsidRPr="00734675">
        <w:rPr>
          <w:rFonts w:ascii="Calibri" w:hAnsi="Calibri"/>
          <w:sz w:val="20"/>
          <w:szCs w:val="20"/>
        </w:rPr>
        <w:t>Bajo protesta de decir verdad declaramos que</w:t>
      </w:r>
      <w:r w:rsidR="00350538" w:rsidRPr="00734675">
        <w:rPr>
          <w:rFonts w:ascii="Calibri" w:hAnsi="Calibri"/>
          <w:sz w:val="20"/>
          <w:szCs w:val="20"/>
        </w:rPr>
        <w:t xml:space="preserve"> los Estados Financieros y sus n</w:t>
      </w:r>
      <w:r w:rsidR="0092234B" w:rsidRPr="00734675">
        <w:rPr>
          <w:rFonts w:ascii="Calibri" w:hAnsi="Calibri"/>
          <w:sz w:val="20"/>
          <w:szCs w:val="20"/>
        </w:rPr>
        <w:t>otas                                                           son razonablemente correctos y</w:t>
      </w:r>
      <w:r w:rsidR="009956B5" w:rsidRPr="00734675">
        <w:rPr>
          <w:rFonts w:ascii="Calibri" w:hAnsi="Calibri"/>
          <w:sz w:val="20"/>
          <w:szCs w:val="20"/>
        </w:rPr>
        <w:t xml:space="preserve"> son</w:t>
      </w:r>
      <w:r w:rsidR="0092234B" w:rsidRPr="00734675">
        <w:rPr>
          <w:rFonts w:ascii="Calibri" w:hAnsi="Calibri"/>
          <w:sz w:val="20"/>
          <w:szCs w:val="20"/>
        </w:rPr>
        <w:t xml:space="preserve"> responsabilidad del emisor</w:t>
      </w:r>
      <w:r w:rsidRPr="00734675">
        <w:rPr>
          <w:rFonts w:ascii="Calibri" w:hAnsi="Calibri"/>
          <w:sz w:val="20"/>
          <w:szCs w:val="20"/>
        </w:rPr>
        <w:t>”</w:t>
      </w:r>
    </w:p>
    <w:p w:rsidR="00CE128A" w:rsidRPr="00734675" w:rsidRDefault="00CE128A" w:rsidP="00CB74C3">
      <w:pPr>
        <w:rPr>
          <w:rFonts w:ascii="Calibri" w:hAnsi="Calibri" w:cs="Arial"/>
          <w:bCs/>
          <w:sz w:val="20"/>
          <w:szCs w:val="20"/>
        </w:rPr>
      </w:pPr>
    </w:p>
    <w:p w:rsidR="003842B5" w:rsidRPr="00734675" w:rsidRDefault="003842B5" w:rsidP="00CB74C3">
      <w:pPr>
        <w:rPr>
          <w:rFonts w:ascii="Calibri" w:hAnsi="Calibri" w:cs="Arial"/>
          <w:bCs/>
          <w:sz w:val="20"/>
          <w:szCs w:val="20"/>
        </w:rPr>
      </w:pPr>
    </w:p>
    <w:p w:rsidR="00E74E88" w:rsidRPr="00734675" w:rsidRDefault="00392C20" w:rsidP="00E74E88">
      <w:pPr>
        <w:rPr>
          <w:rFonts w:ascii="Calibri" w:hAnsi="Calibri" w:cs="Arial"/>
          <w:sz w:val="20"/>
          <w:szCs w:val="20"/>
          <w:lang w:val="es-ES"/>
        </w:rPr>
      </w:pPr>
      <w:r w:rsidRPr="00734675">
        <w:rPr>
          <w:rFonts w:ascii="Calibri" w:hAnsi="Calibri"/>
          <w:sz w:val="20"/>
          <w:szCs w:val="20"/>
        </w:rPr>
        <w:t xml:space="preserve">                  </w:t>
      </w:r>
      <w:r w:rsidR="00A93EE2" w:rsidRPr="00734675">
        <w:rPr>
          <w:rFonts w:ascii="Calibri" w:hAnsi="Calibri"/>
          <w:sz w:val="20"/>
          <w:szCs w:val="20"/>
        </w:rPr>
        <w:t xml:space="preserve">       </w:t>
      </w:r>
      <w:r w:rsidRPr="00734675">
        <w:rPr>
          <w:rFonts w:ascii="Calibri" w:hAnsi="Calibri"/>
          <w:sz w:val="20"/>
          <w:szCs w:val="20"/>
        </w:rPr>
        <w:t xml:space="preserve">      </w:t>
      </w:r>
      <w:r w:rsidR="00E74E88" w:rsidRPr="00734675">
        <w:rPr>
          <w:rFonts w:ascii="Calibri" w:hAnsi="Calibri"/>
          <w:sz w:val="20"/>
          <w:szCs w:val="20"/>
        </w:rPr>
        <w:t xml:space="preserve">   Revisó                                                                  </w:t>
      </w:r>
      <w:r w:rsidR="00987F7F" w:rsidRPr="00734675">
        <w:rPr>
          <w:rFonts w:ascii="Calibri" w:hAnsi="Calibri"/>
          <w:sz w:val="20"/>
          <w:szCs w:val="20"/>
        </w:rPr>
        <w:t xml:space="preserve">                  </w:t>
      </w:r>
      <w:r w:rsidR="004C1093" w:rsidRPr="00734675">
        <w:rPr>
          <w:rFonts w:ascii="Calibri" w:hAnsi="Calibri"/>
          <w:sz w:val="20"/>
          <w:szCs w:val="20"/>
        </w:rPr>
        <w:t xml:space="preserve">                    </w:t>
      </w:r>
      <w:r w:rsidR="00987F7F" w:rsidRPr="00734675">
        <w:rPr>
          <w:rFonts w:ascii="Calibri" w:hAnsi="Calibri"/>
          <w:sz w:val="20"/>
          <w:szCs w:val="20"/>
        </w:rPr>
        <w:t xml:space="preserve"> </w:t>
      </w:r>
      <w:r w:rsidR="00E74E88" w:rsidRPr="00734675">
        <w:rPr>
          <w:rFonts w:ascii="Calibri" w:hAnsi="Calibri"/>
          <w:sz w:val="20"/>
          <w:szCs w:val="20"/>
        </w:rPr>
        <w:t xml:space="preserve">   Visto Bueno</w:t>
      </w:r>
    </w:p>
    <w:p w:rsidR="00A61609" w:rsidRPr="00734675" w:rsidRDefault="00A61609" w:rsidP="00E74E88">
      <w:pPr>
        <w:rPr>
          <w:rFonts w:ascii="Calibri" w:hAnsi="Calibri" w:cs="Arial"/>
          <w:sz w:val="20"/>
          <w:szCs w:val="20"/>
        </w:rPr>
      </w:pPr>
    </w:p>
    <w:p w:rsidR="003842B5" w:rsidRPr="00734675" w:rsidRDefault="003842B5" w:rsidP="00E74E88">
      <w:pPr>
        <w:rPr>
          <w:rFonts w:ascii="Calibri" w:hAnsi="Calibri" w:cs="Arial"/>
          <w:sz w:val="20"/>
          <w:szCs w:val="20"/>
        </w:rPr>
      </w:pPr>
    </w:p>
    <w:p w:rsidR="00CE128A" w:rsidRPr="00734675" w:rsidRDefault="00CE128A" w:rsidP="00E74E88">
      <w:pPr>
        <w:rPr>
          <w:rFonts w:ascii="Calibri" w:hAnsi="Calibri" w:cs="Arial"/>
          <w:sz w:val="20"/>
          <w:szCs w:val="20"/>
        </w:rPr>
      </w:pPr>
    </w:p>
    <w:p w:rsidR="00B271AC" w:rsidRPr="00734675" w:rsidRDefault="00B271AC" w:rsidP="00E74E88">
      <w:pPr>
        <w:rPr>
          <w:rFonts w:ascii="Calibri" w:hAnsi="Calibri" w:cs="Arial"/>
          <w:sz w:val="20"/>
          <w:szCs w:val="20"/>
        </w:rPr>
      </w:pPr>
    </w:p>
    <w:p w:rsidR="00F14452" w:rsidRPr="00734675" w:rsidRDefault="00F14452" w:rsidP="00E74E88">
      <w:pPr>
        <w:rPr>
          <w:rFonts w:ascii="Calibri" w:hAnsi="Calibri" w:cs="Arial"/>
          <w:sz w:val="20"/>
          <w:szCs w:val="20"/>
        </w:rPr>
      </w:pPr>
    </w:p>
    <w:p w:rsidR="00F14452" w:rsidRPr="00734675" w:rsidRDefault="00F14452" w:rsidP="00E74E88">
      <w:pPr>
        <w:rPr>
          <w:rFonts w:ascii="Calibri" w:hAnsi="Calibri" w:cs="Arial"/>
          <w:sz w:val="20"/>
          <w:szCs w:val="20"/>
        </w:rPr>
      </w:pPr>
    </w:p>
    <w:p w:rsidR="00E74E88" w:rsidRPr="00734675" w:rsidRDefault="000403C7" w:rsidP="000A7489">
      <w:pPr>
        <w:tabs>
          <w:tab w:val="left" w:pos="3682"/>
        </w:tabs>
        <w:rPr>
          <w:rFonts w:ascii="Calibri" w:hAnsi="Calibri" w:cs="Arial"/>
          <w:sz w:val="20"/>
          <w:szCs w:val="20"/>
          <w:lang w:val="es-ES"/>
        </w:rPr>
      </w:pPr>
      <w:r w:rsidRPr="00734675">
        <w:rPr>
          <w:noProof/>
          <w:lang w:eastAsia="es-MX"/>
        </w:rPr>
        <mc:AlternateContent>
          <mc:Choice Requires="wps">
            <w:drawing>
              <wp:anchor distT="4294967294" distB="4294967294" distL="114300" distR="114300" simplePos="0" relativeHeight="251657216"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1588"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"/>
            </w:pict>
          </mc:Fallback>
        </mc:AlternateContent>
      </w:r>
      <w:r w:rsidRPr="00734675">
        <w:rPr>
          <w:noProof/>
          <w:lang w:eastAsia="es-MX"/>
        </w:rPr>
        <mc:AlternateContent>
          <mc:Choice Requires="wps">
            <w:drawing>
              <wp:anchor distT="4294967294" distB="4294967294" distL="114300" distR="114300" simplePos="0" relativeHeight="251656192"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6273"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"/>
            </w:pict>
          </mc:Fallback>
        </mc:AlternateContent>
      </w:r>
    </w:p>
    <w:p w:rsidR="00E74E88" w:rsidRPr="00734675" w:rsidRDefault="00DD1095" w:rsidP="00E74E88">
      <w:pPr>
        <w:tabs>
          <w:tab w:val="left" w:pos="3682"/>
        </w:tabs>
        <w:rPr>
          <w:rFonts w:ascii="Calibri" w:hAnsi="Calibri" w:cs="Arial"/>
          <w:sz w:val="20"/>
          <w:szCs w:val="20"/>
        </w:rPr>
      </w:pPr>
      <w:r w:rsidRPr="00734675">
        <w:rPr>
          <w:rFonts w:ascii="Calibri" w:hAnsi="Calibri" w:cs="Arial"/>
          <w:sz w:val="20"/>
          <w:szCs w:val="20"/>
          <w:lang w:val="es-ES"/>
        </w:rPr>
        <w:t xml:space="preserve">              </w:t>
      </w:r>
      <w:r w:rsidR="00E74E88" w:rsidRPr="00734675">
        <w:rPr>
          <w:rFonts w:ascii="Calibri" w:hAnsi="Calibri" w:cs="Arial"/>
          <w:sz w:val="20"/>
          <w:szCs w:val="20"/>
          <w:lang w:val="es-ES"/>
        </w:rPr>
        <w:t xml:space="preserve"> </w:t>
      </w:r>
      <w:r w:rsidR="00E74E88" w:rsidRPr="00734675">
        <w:rPr>
          <w:rFonts w:ascii="Calibri" w:hAnsi="Calibri"/>
          <w:sz w:val="20"/>
          <w:szCs w:val="20"/>
        </w:rPr>
        <w:t xml:space="preserve">C.P. Manuel </w:t>
      </w:r>
      <w:r w:rsidRPr="00734675">
        <w:rPr>
          <w:rFonts w:ascii="Calibri" w:hAnsi="Calibri"/>
          <w:sz w:val="20"/>
          <w:szCs w:val="20"/>
        </w:rPr>
        <w:t xml:space="preserve">Jesús </w:t>
      </w:r>
      <w:r w:rsidR="00E74E88" w:rsidRPr="00734675">
        <w:rPr>
          <w:rFonts w:ascii="Calibri" w:hAnsi="Calibri"/>
          <w:sz w:val="20"/>
          <w:szCs w:val="20"/>
        </w:rPr>
        <w:t>González Cardeña</w:t>
      </w:r>
      <w:r w:rsidR="00E74E88" w:rsidRPr="00734675">
        <w:rPr>
          <w:rFonts w:ascii="Calibri" w:hAnsi="Calibri" w:cs="Arial"/>
          <w:sz w:val="20"/>
          <w:szCs w:val="20"/>
          <w:lang w:val="es-ES"/>
        </w:rPr>
        <w:tab/>
      </w:r>
      <w:r w:rsidRPr="00734675">
        <w:rPr>
          <w:rFonts w:ascii="Calibri" w:hAnsi="Calibri" w:cs="Arial"/>
          <w:sz w:val="20"/>
          <w:szCs w:val="20"/>
          <w:lang w:val="es-ES"/>
        </w:rPr>
        <w:t xml:space="preserve">     </w:t>
      </w:r>
      <w:r w:rsidR="00E74E88" w:rsidRPr="00734675">
        <w:rPr>
          <w:rFonts w:ascii="Calibri" w:hAnsi="Calibri" w:cs="Arial"/>
          <w:sz w:val="20"/>
          <w:szCs w:val="20"/>
          <w:lang w:val="es-ES"/>
        </w:rPr>
        <w:tab/>
        <w:t xml:space="preserve">                                </w:t>
      </w:r>
      <w:r w:rsidR="00680B35" w:rsidRPr="00734675">
        <w:rPr>
          <w:rFonts w:ascii="Calibri" w:hAnsi="Calibri" w:cs="Arial"/>
          <w:sz w:val="20"/>
          <w:szCs w:val="20"/>
          <w:lang w:val="es-ES"/>
        </w:rPr>
        <w:t xml:space="preserve">         C.P. </w:t>
      </w:r>
      <w:r w:rsidRPr="00734675">
        <w:rPr>
          <w:rFonts w:ascii="Calibri" w:hAnsi="Calibri" w:cs="Arial"/>
          <w:sz w:val="20"/>
          <w:szCs w:val="20"/>
          <w:lang w:val="es-ES"/>
        </w:rPr>
        <w:t>M</w:t>
      </w:r>
      <w:r w:rsidR="00562EA3" w:rsidRPr="00734675">
        <w:rPr>
          <w:rFonts w:ascii="Calibri" w:hAnsi="Calibri"/>
          <w:sz w:val="20"/>
          <w:szCs w:val="20"/>
        </w:rPr>
        <w:t>iguel</w:t>
      </w:r>
      <w:r w:rsidR="00E74E88" w:rsidRPr="00734675">
        <w:rPr>
          <w:rFonts w:ascii="Calibri" w:hAnsi="Calibri"/>
          <w:sz w:val="20"/>
          <w:szCs w:val="20"/>
        </w:rPr>
        <w:t xml:space="preserve"> </w:t>
      </w:r>
      <w:r w:rsidRPr="00734675">
        <w:rPr>
          <w:rFonts w:ascii="Calibri" w:hAnsi="Calibri"/>
          <w:sz w:val="20"/>
          <w:szCs w:val="20"/>
        </w:rPr>
        <w:t xml:space="preserve">Francisco </w:t>
      </w:r>
      <w:r w:rsidR="00E74E88" w:rsidRPr="00734675">
        <w:rPr>
          <w:rFonts w:ascii="Calibri" w:hAnsi="Calibri"/>
          <w:sz w:val="20"/>
          <w:szCs w:val="20"/>
        </w:rPr>
        <w:t>Escobedo Novelo</w:t>
      </w:r>
    </w:p>
    <w:p w:rsidR="00A61609" w:rsidRPr="00734675" w:rsidRDefault="00E74E88" w:rsidP="005E1C59">
      <w:pPr>
        <w:tabs>
          <w:tab w:val="left" w:pos="3682"/>
        </w:tabs>
        <w:rPr>
          <w:rFonts w:ascii="Calibri" w:hAnsi="Calibri" w:cs="Arial"/>
          <w:sz w:val="20"/>
          <w:szCs w:val="20"/>
        </w:rPr>
      </w:pPr>
      <w:r w:rsidRPr="00734675">
        <w:rPr>
          <w:rFonts w:ascii="Calibri" w:hAnsi="Calibri" w:cs="Arial"/>
          <w:sz w:val="20"/>
          <w:szCs w:val="20"/>
        </w:rPr>
        <w:t xml:space="preserve">           </w:t>
      </w:r>
      <w:r w:rsidR="00DD1095" w:rsidRPr="00734675">
        <w:rPr>
          <w:rFonts w:ascii="Calibri" w:hAnsi="Calibri" w:cs="Arial"/>
          <w:sz w:val="20"/>
          <w:szCs w:val="20"/>
        </w:rPr>
        <w:t xml:space="preserve"> </w:t>
      </w:r>
      <w:r w:rsidRPr="00734675">
        <w:rPr>
          <w:rFonts w:ascii="Calibri" w:hAnsi="Calibri" w:cs="Arial"/>
          <w:sz w:val="20"/>
          <w:szCs w:val="20"/>
        </w:rPr>
        <w:t xml:space="preserve"> </w:t>
      </w:r>
      <w:r w:rsidRPr="00734675">
        <w:rPr>
          <w:rFonts w:ascii="Calibri" w:hAnsi="Calibri"/>
          <w:sz w:val="20"/>
          <w:szCs w:val="20"/>
        </w:rPr>
        <w:t xml:space="preserve">Director de Administración y Finanzas                                                     </w:t>
      </w:r>
      <w:r w:rsidR="00ED768C" w:rsidRPr="00734675">
        <w:rPr>
          <w:rFonts w:ascii="Calibri" w:hAnsi="Calibri"/>
          <w:sz w:val="20"/>
          <w:szCs w:val="20"/>
        </w:rPr>
        <w:t xml:space="preserve">                </w:t>
      </w:r>
      <w:r w:rsidRPr="00734675">
        <w:rPr>
          <w:rFonts w:ascii="Calibri" w:hAnsi="Calibri"/>
          <w:sz w:val="20"/>
          <w:szCs w:val="20"/>
        </w:rPr>
        <w:t xml:space="preserve">    </w:t>
      </w:r>
      <w:r w:rsidR="00DD1095" w:rsidRPr="00734675">
        <w:rPr>
          <w:rFonts w:ascii="Calibri" w:hAnsi="Calibri"/>
          <w:sz w:val="20"/>
          <w:szCs w:val="20"/>
        </w:rPr>
        <w:t xml:space="preserve">   </w:t>
      </w:r>
      <w:r w:rsidRPr="00734675">
        <w:rPr>
          <w:rFonts w:ascii="Calibri" w:hAnsi="Calibri"/>
          <w:sz w:val="20"/>
          <w:szCs w:val="20"/>
        </w:rPr>
        <w:t>Director General</w:t>
      </w:r>
    </w:p>
    <w:p w:rsidR="00B45459" w:rsidRPr="00734675" w:rsidRDefault="00B45459" w:rsidP="005E1C59">
      <w:pPr>
        <w:jc w:val="center"/>
        <w:rPr>
          <w:rFonts w:ascii="Calibri" w:hAnsi="Calibri"/>
          <w:sz w:val="20"/>
          <w:szCs w:val="20"/>
        </w:rPr>
      </w:pPr>
    </w:p>
    <w:p w:rsidR="003842B5" w:rsidRPr="00734675" w:rsidRDefault="003842B5" w:rsidP="005E1C59">
      <w:pPr>
        <w:jc w:val="center"/>
        <w:rPr>
          <w:rFonts w:ascii="Calibri" w:hAnsi="Calibri"/>
          <w:sz w:val="20"/>
          <w:szCs w:val="20"/>
        </w:rPr>
      </w:pPr>
    </w:p>
    <w:p w:rsidR="00B45459" w:rsidRPr="00734675" w:rsidRDefault="00B45459" w:rsidP="007D4D0C">
      <w:pPr>
        <w:rPr>
          <w:rFonts w:ascii="Calibri" w:hAnsi="Calibri"/>
          <w:sz w:val="20"/>
          <w:szCs w:val="20"/>
        </w:rPr>
      </w:pPr>
    </w:p>
    <w:p w:rsidR="008B5DDB" w:rsidRPr="00734675" w:rsidRDefault="00C157F4" w:rsidP="00B271AC">
      <w:pPr>
        <w:jc w:val="center"/>
        <w:rPr>
          <w:rFonts w:ascii="Calibri" w:hAnsi="Calibri"/>
          <w:sz w:val="20"/>
          <w:szCs w:val="20"/>
        </w:rPr>
      </w:pPr>
      <w:r w:rsidRPr="00734675">
        <w:rPr>
          <w:rFonts w:ascii="Calibri" w:hAnsi="Calibri"/>
          <w:sz w:val="20"/>
          <w:szCs w:val="20"/>
        </w:rPr>
        <w:t>Elaboró</w:t>
      </w:r>
    </w:p>
    <w:p w:rsidR="008B5DDB" w:rsidRPr="00734675" w:rsidRDefault="008B5DDB" w:rsidP="00E74E88">
      <w:pPr>
        <w:rPr>
          <w:rFonts w:ascii="Calibri" w:hAnsi="Calibri" w:cs="Arial"/>
          <w:sz w:val="20"/>
          <w:szCs w:val="20"/>
        </w:rPr>
      </w:pPr>
    </w:p>
    <w:p w:rsidR="003842B5" w:rsidRPr="00734675" w:rsidRDefault="003842B5" w:rsidP="00E74E88">
      <w:pPr>
        <w:rPr>
          <w:rFonts w:ascii="Calibri" w:hAnsi="Calibri" w:cs="Arial"/>
          <w:sz w:val="20"/>
          <w:szCs w:val="20"/>
        </w:rPr>
      </w:pPr>
    </w:p>
    <w:p w:rsidR="00F14452" w:rsidRPr="00734675" w:rsidRDefault="00F14452" w:rsidP="00E74E88">
      <w:pPr>
        <w:rPr>
          <w:rFonts w:ascii="Calibri" w:hAnsi="Calibri" w:cs="Arial"/>
          <w:sz w:val="20"/>
          <w:szCs w:val="20"/>
        </w:rPr>
      </w:pPr>
    </w:p>
    <w:p w:rsidR="00F14452" w:rsidRPr="00734675" w:rsidRDefault="00F14452" w:rsidP="00E74E88">
      <w:pPr>
        <w:rPr>
          <w:rFonts w:ascii="Calibri" w:hAnsi="Calibri" w:cs="Arial"/>
          <w:sz w:val="20"/>
          <w:szCs w:val="20"/>
        </w:rPr>
      </w:pPr>
    </w:p>
    <w:p w:rsidR="00F14452" w:rsidRPr="00734675" w:rsidRDefault="00F14452" w:rsidP="00E74E88">
      <w:pPr>
        <w:rPr>
          <w:rFonts w:ascii="Calibri" w:hAnsi="Calibri" w:cs="Arial"/>
          <w:sz w:val="20"/>
          <w:szCs w:val="20"/>
        </w:rPr>
      </w:pPr>
    </w:p>
    <w:p w:rsidR="00E74E88" w:rsidRPr="00734675" w:rsidRDefault="000403C7" w:rsidP="00E74E88">
      <w:pPr>
        <w:rPr>
          <w:rFonts w:ascii="Calibri" w:hAnsi="Calibri" w:cs="Arial"/>
          <w:sz w:val="20"/>
          <w:szCs w:val="20"/>
        </w:rPr>
      </w:pPr>
      <w:r w:rsidRPr="00734675">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1981505</wp:posOffset>
                </wp:positionH>
                <wp:positionV relativeFrom="paragraph">
                  <wp:posOffset>146355</wp:posOffset>
                </wp:positionV>
                <wp:extent cx="2057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BF5D"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pt,11.5pt" to="3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"/>
            </w:pict>
          </mc:Fallback>
        </mc:AlternateContent>
      </w:r>
    </w:p>
    <w:p w:rsidR="00A050E6" w:rsidRPr="00734675" w:rsidRDefault="00A050E6" w:rsidP="0060248C">
      <w:pPr>
        <w:jc w:val="center"/>
        <w:rPr>
          <w:rFonts w:ascii="Calibri" w:hAnsi="Calibri"/>
          <w:sz w:val="20"/>
          <w:szCs w:val="20"/>
        </w:rPr>
      </w:pPr>
      <w:r w:rsidRPr="00734675">
        <w:rPr>
          <w:rFonts w:ascii="Calibri" w:hAnsi="Calibri"/>
          <w:sz w:val="20"/>
          <w:szCs w:val="20"/>
        </w:rPr>
        <w:t>C.P. José Hidalgo Zetina Espinosa</w:t>
      </w:r>
    </w:p>
    <w:p w:rsidR="00FF0F0D" w:rsidRPr="00853E3D" w:rsidRDefault="00E74E88" w:rsidP="0060248C">
      <w:pPr>
        <w:jc w:val="center"/>
        <w:rPr>
          <w:rFonts w:ascii="Calibri" w:hAnsi="Calibri" w:cs="Arial"/>
          <w:sz w:val="20"/>
          <w:szCs w:val="20"/>
        </w:rPr>
      </w:pPr>
      <w:r w:rsidRPr="00734675">
        <w:rPr>
          <w:rFonts w:ascii="Calibri" w:hAnsi="Calibri"/>
          <w:sz w:val="20"/>
          <w:szCs w:val="20"/>
        </w:rPr>
        <w:t>Jef</w:t>
      </w:r>
      <w:r w:rsidR="007F7157" w:rsidRPr="00734675">
        <w:rPr>
          <w:rFonts w:ascii="Calibri" w:hAnsi="Calibri"/>
          <w:sz w:val="20"/>
          <w:szCs w:val="20"/>
        </w:rPr>
        <w:t>e de Contabilidad</w:t>
      </w:r>
    </w:p>
    <w:sectPr w:rsidR="00FF0F0D" w:rsidRPr="00853E3D" w:rsidSect="00DA0E58">
      <w:headerReference w:type="default" r:id="rId41"/>
      <w:footerReference w:type="even" r:id="rId42"/>
      <w:footerReference w:type="default" r:id="rId43"/>
      <w:pgSz w:w="12240" w:h="15840"/>
      <w:pgMar w:top="1701" w:right="1608" w:bottom="567"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F4" w:rsidRDefault="009D57F4">
      <w:r>
        <w:separator/>
      </w:r>
    </w:p>
  </w:endnote>
  <w:endnote w:type="continuationSeparator" w:id="0">
    <w:p w:rsidR="009D57F4" w:rsidRDefault="009D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F4" w:rsidRDefault="009D57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7F4" w:rsidRDefault="009D57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F4" w:rsidRDefault="009D57F4">
    <w:pPr>
      <w:pStyle w:val="Piedepgina"/>
      <w:ind w:right="360"/>
      <w:rPr>
        <w:color w:val="C0C0C0"/>
        <w:sz w:val="16"/>
      </w:rPr>
    </w:pPr>
  </w:p>
  <w:p w:rsidR="009D57F4" w:rsidRDefault="009D57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F4" w:rsidRDefault="009D57F4">
      <w:r>
        <w:separator/>
      </w:r>
    </w:p>
  </w:footnote>
  <w:footnote w:type="continuationSeparator" w:id="0">
    <w:p w:rsidR="009D57F4" w:rsidRDefault="009D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F4" w:rsidRDefault="009D57F4" w:rsidP="00E516EB">
    <w:pPr>
      <w:pStyle w:val="Encabezado"/>
      <w:jc w:val="center"/>
      <w:rPr>
        <w:rFonts w:ascii="Calibri" w:hAnsi="Calibri"/>
        <w:b/>
        <w:sz w:val="22"/>
        <w:szCs w:val="22"/>
        <w:lang w:val="es-ES"/>
      </w:rPr>
    </w:pPr>
  </w:p>
  <w:p w:rsidR="009D57F4" w:rsidRPr="007D4589" w:rsidRDefault="009D57F4" w:rsidP="00052BC5">
    <w:pPr>
      <w:pStyle w:val="Encabezado"/>
      <w:jc w:val="center"/>
      <w:rPr>
        <w:rFonts w:ascii="Calibri" w:hAnsi="Calibri"/>
        <w:b/>
        <w:sz w:val="22"/>
        <w:szCs w:val="22"/>
        <w:lang w:val="es-ES"/>
      </w:rPr>
    </w:pPr>
    <w:r>
      <w:rPr>
        <w:noProof/>
        <w:lang w:eastAsia="es-MX"/>
      </w:rPr>
      <w:drawing>
        <wp:anchor distT="0" distB="0" distL="114300" distR="114300" simplePos="0" relativeHeight="251659776" behindDoc="1" locked="0" layoutInCell="1" allowOverlap="1" wp14:anchorId="0E97A7B3" wp14:editId="6B093206">
          <wp:simplePos x="0" y="0"/>
          <wp:positionH relativeFrom="column">
            <wp:posOffset>-254635</wp:posOffset>
          </wp:positionH>
          <wp:positionV relativeFrom="paragraph">
            <wp:posOffset>635</wp:posOffset>
          </wp:positionV>
          <wp:extent cx="1083310" cy="353060"/>
          <wp:effectExtent l="0" t="0" r="2540" b="8890"/>
          <wp:wrapThrough wrapText="bothSides">
            <wp:wrapPolygon edited="0">
              <wp:start x="0" y="0"/>
              <wp:lineTo x="0" y="20978"/>
              <wp:lineTo x="21271" y="20978"/>
              <wp:lineTo x="2127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89">
      <w:rPr>
        <w:rFonts w:ascii="Calibri" w:hAnsi="Calibri"/>
        <w:b/>
        <w:sz w:val="22"/>
        <w:szCs w:val="22"/>
        <w:lang w:val="es-ES"/>
      </w:rPr>
      <w:t>FIDEICOMISO GARANTE DE LA ORQUESTA SINFÓNICA DE YUCATÁN</w:t>
    </w:r>
  </w:p>
  <w:p w:rsidR="009D57F4" w:rsidRPr="004B7A4D" w:rsidRDefault="009D57F4" w:rsidP="009C65BE">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28 DE FEBRERO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C10A0"/>
    <w:multiLevelType w:val="multilevel"/>
    <w:tmpl w:val="45DA46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B1B76"/>
    <w:multiLevelType w:val="multilevel"/>
    <w:tmpl w:val="6D2830EC"/>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908B1"/>
    <w:multiLevelType w:val="multilevel"/>
    <w:tmpl w:val="AD787522"/>
    <w:lvl w:ilvl="0">
      <w:start w:val="4"/>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6">
    <w:nsid w:val="17CF1CCE"/>
    <w:multiLevelType w:val="multilevel"/>
    <w:tmpl w:val="4D7C13B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FC510E"/>
    <w:multiLevelType w:val="multilevel"/>
    <w:tmpl w:val="22E28E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2461C7"/>
    <w:multiLevelType w:val="multilevel"/>
    <w:tmpl w:val="B94C46A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397AFC"/>
    <w:multiLevelType w:val="multilevel"/>
    <w:tmpl w:val="4904A3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086E17"/>
    <w:multiLevelType w:val="multilevel"/>
    <w:tmpl w:val="66287AA2"/>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3"/>
      <w:numFmt w:val="decimal"/>
      <w:lvlText w:val="%3.1.1"/>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565CC8"/>
    <w:multiLevelType w:val="multilevel"/>
    <w:tmpl w:val="5770B5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2"/>
      <w:numFmt w:val="decimal"/>
      <w:lvlText w:val="%1.%2.%3.%4.%5"/>
      <w:lvlJc w:val="left"/>
      <w:pPr>
        <w:ind w:left="862"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6D57EDD"/>
    <w:multiLevelType w:val="multilevel"/>
    <w:tmpl w:val="584E1F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2"/>
      <w:numFmt w:val="decimal"/>
      <w:lvlText w:val="%1.%2.%3.%4.%5"/>
      <w:lvlJc w:val="left"/>
      <w:pPr>
        <w:ind w:left="855" w:hanging="855"/>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957382"/>
    <w:multiLevelType w:val="multilevel"/>
    <w:tmpl w:val="F026A59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9">
    <w:nsid w:val="648F039B"/>
    <w:multiLevelType w:val="multilevel"/>
    <w:tmpl w:val="D222ED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4763DD"/>
    <w:multiLevelType w:val="multilevel"/>
    <w:tmpl w:val="E8C21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204939"/>
    <w:multiLevelType w:val="multilevel"/>
    <w:tmpl w:val="73FE7432"/>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4F76B7C"/>
    <w:multiLevelType w:val="multilevel"/>
    <w:tmpl w:val="3774C62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A62D4E"/>
    <w:multiLevelType w:val="multilevel"/>
    <w:tmpl w:val="FF5AD7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43"/>
  </w:num>
  <w:num w:numId="2">
    <w:abstractNumId w:val="40"/>
  </w:num>
  <w:num w:numId="3">
    <w:abstractNumId w:val="13"/>
  </w:num>
  <w:num w:numId="4">
    <w:abstractNumId w:val="3"/>
  </w:num>
  <w:num w:numId="5">
    <w:abstractNumId w:val="22"/>
  </w:num>
  <w:num w:numId="6">
    <w:abstractNumId w:val="9"/>
  </w:num>
  <w:num w:numId="7">
    <w:abstractNumId w:val="17"/>
  </w:num>
  <w:num w:numId="8">
    <w:abstractNumId w:val="0"/>
  </w:num>
  <w:num w:numId="9">
    <w:abstractNumId w:val="12"/>
  </w:num>
  <w:num w:numId="10">
    <w:abstractNumId w:val="26"/>
  </w:num>
  <w:num w:numId="11">
    <w:abstractNumId w:val="48"/>
  </w:num>
  <w:num w:numId="12">
    <w:abstractNumId w:val="20"/>
  </w:num>
  <w:num w:numId="13">
    <w:abstractNumId w:val="15"/>
  </w:num>
  <w:num w:numId="14">
    <w:abstractNumId w:val="42"/>
  </w:num>
  <w:num w:numId="15">
    <w:abstractNumId w:val="4"/>
  </w:num>
  <w:num w:numId="16">
    <w:abstractNumId w:val="21"/>
  </w:num>
  <w:num w:numId="17">
    <w:abstractNumId w:val="31"/>
  </w:num>
  <w:num w:numId="18">
    <w:abstractNumId w:val="18"/>
  </w:num>
  <w:num w:numId="19">
    <w:abstractNumId w:val="14"/>
  </w:num>
  <w:num w:numId="20">
    <w:abstractNumId w:val="37"/>
  </w:num>
  <w:num w:numId="21">
    <w:abstractNumId w:val="46"/>
  </w:num>
  <w:num w:numId="22">
    <w:abstractNumId w:val="11"/>
  </w:num>
  <w:num w:numId="23">
    <w:abstractNumId w:val="25"/>
  </w:num>
  <w:num w:numId="24">
    <w:abstractNumId w:val="6"/>
  </w:num>
  <w:num w:numId="25">
    <w:abstractNumId w:val="7"/>
  </w:num>
  <w:num w:numId="26">
    <w:abstractNumId w:val="24"/>
  </w:num>
  <w:num w:numId="27">
    <w:abstractNumId w:val="36"/>
  </w:num>
  <w:num w:numId="28">
    <w:abstractNumId w:val="32"/>
  </w:num>
  <w:num w:numId="29">
    <w:abstractNumId w:val="19"/>
  </w:num>
  <w:num w:numId="30">
    <w:abstractNumId w:val="5"/>
  </w:num>
  <w:num w:numId="31">
    <w:abstractNumId w:val="45"/>
  </w:num>
  <w:num w:numId="32">
    <w:abstractNumId w:val="33"/>
  </w:num>
  <w:num w:numId="33">
    <w:abstractNumId w:val="27"/>
  </w:num>
  <w:num w:numId="34">
    <w:abstractNumId w:val="10"/>
  </w:num>
  <w:num w:numId="35">
    <w:abstractNumId w:val="34"/>
  </w:num>
  <w:num w:numId="36">
    <w:abstractNumId w:val="30"/>
  </w:num>
  <w:num w:numId="37">
    <w:abstractNumId w:val="23"/>
  </w:num>
  <w:num w:numId="38">
    <w:abstractNumId w:val="39"/>
  </w:num>
  <w:num w:numId="39">
    <w:abstractNumId w:val="2"/>
  </w:num>
  <w:num w:numId="40">
    <w:abstractNumId w:val="38"/>
  </w:num>
  <w:num w:numId="41">
    <w:abstractNumId w:val="29"/>
  </w:num>
  <w:num w:numId="42">
    <w:abstractNumId w:val="35"/>
  </w:num>
  <w:num w:numId="43">
    <w:abstractNumId w:val="28"/>
  </w:num>
  <w:num w:numId="44">
    <w:abstractNumId w:val="47"/>
  </w:num>
  <w:num w:numId="45">
    <w:abstractNumId w:val="41"/>
  </w:num>
  <w:num w:numId="46">
    <w:abstractNumId w:val="8"/>
  </w:num>
  <w:num w:numId="47">
    <w:abstractNumId w:val="16"/>
  </w:num>
  <w:num w:numId="48">
    <w:abstractNumId w:val="44"/>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90"/>
    <w:rsid w:val="00000507"/>
    <w:rsid w:val="00002CB8"/>
    <w:rsid w:val="00002F6A"/>
    <w:rsid w:val="000032DF"/>
    <w:rsid w:val="0000334E"/>
    <w:rsid w:val="00004101"/>
    <w:rsid w:val="00004CB6"/>
    <w:rsid w:val="0000532F"/>
    <w:rsid w:val="000061F3"/>
    <w:rsid w:val="000065D1"/>
    <w:rsid w:val="00006EAC"/>
    <w:rsid w:val="000075D2"/>
    <w:rsid w:val="00007602"/>
    <w:rsid w:val="00007F1B"/>
    <w:rsid w:val="00011A17"/>
    <w:rsid w:val="0001309E"/>
    <w:rsid w:val="00013357"/>
    <w:rsid w:val="00013DE3"/>
    <w:rsid w:val="00014390"/>
    <w:rsid w:val="000151F6"/>
    <w:rsid w:val="000156E9"/>
    <w:rsid w:val="00015786"/>
    <w:rsid w:val="00015862"/>
    <w:rsid w:val="00017C58"/>
    <w:rsid w:val="00020207"/>
    <w:rsid w:val="00020717"/>
    <w:rsid w:val="000229F4"/>
    <w:rsid w:val="000239F5"/>
    <w:rsid w:val="000245E9"/>
    <w:rsid w:val="00024700"/>
    <w:rsid w:val="00026F92"/>
    <w:rsid w:val="000279D9"/>
    <w:rsid w:val="00030167"/>
    <w:rsid w:val="00030E31"/>
    <w:rsid w:val="0003131E"/>
    <w:rsid w:val="000316BB"/>
    <w:rsid w:val="00032122"/>
    <w:rsid w:val="00032417"/>
    <w:rsid w:val="00032B23"/>
    <w:rsid w:val="000331F0"/>
    <w:rsid w:val="00033424"/>
    <w:rsid w:val="00033F44"/>
    <w:rsid w:val="00036359"/>
    <w:rsid w:val="00037DA6"/>
    <w:rsid w:val="00037F33"/>
    <w:rsid w:val="00040247"/>
    <w:rsid w:val="000403C7"/>
    <w:rsid w:val="00040627"/>
    <w:rsid w:val="00041E75"/>
    <w:rsid w:val="00042B52"/>
    <w:rsid w:val="000433C5"/>
    <w:rsid w:val="00043A40"/>
    <w:rsid w:val="00044E4A"/>
    <w:rsid w:val="00045CD1"/>
    <w:rsid w:val="000468D0"/>
    <w:rsid w:val="00047715"/>
    <w:rsid w:val="00047810"/>
    <w:rsid w:val="000479BA"/>
    <w:rsid w:val="000515CB"/>
    <w:rsid w:val="000518D4"/>
    <w:rsid w:val="0005218F"/>
    <w:rsid w:val="0005298F"/>
    <w:rsid w:val="00052BC5"/>
    <w:rsid w:val="00054421"/>
    <w:rsid w:val="000549BA"/>
    <w:rsid w:val="00055475"/>
    <w:rsid w:val="00056882"/>
    <w:rsid w:val="00056BBF"/>
    <w:rsid w:val="0005771D"/>
    <w:rsid w:val="0006042F"/>
    <w:rsid w:val="00060C85"/>
    <w:rsid w:val="00060E23"/>
    <w:rsid w:val="0006105B"/>
    <w:rsid w:val="0006187C"/>
    <w:rsid w:val="00062F82"/>
    <w:rsid w:val="0006348B"/>
    <w:rsid w:val="00066218"/>
    <w:rsid w:val="00066511"/>
    <w:rsid w:val="00066B8F"/>
    <w:rsid w:val="0006734B"/>
    <w:rsid w:val="00070065"/>
    <w:rsid w:val="00070BF1"/>
    <w:rsid w:val="00072D7B"/>
    <w:rsid w:val="00073097"/>
    <w:rsid w:val="000734BB"/>
    <w:rsid w:val="00074B84"/>
    <w:rsid w:val="00075C51"/>
    <w:rsid w:val="00076E3B"/>
    <w:rsid w:val="00077451"/>
    <w:rsid w:val="00081665"/>
    <w:rsid w:val="00081D7E"/>
    <w:rsid w:val="00082A0A"/>
    <w:rsid w:val="00082BFE"/>
    <w:rsid w:val="000835F6"/>
    <w:rsid w:val="0008393D"/>
    <w:rsid w:val="000850BA"/>
    <w:rsid w:val="00086107"/>
    <w:rsid w:val="00086DD0"/>
    <w:rsid w:val="00087628"/>
    <w:rsid w:val="00087CFE"/>
    <w:rsid w:val="000908E2"/>
    <w:rsid w:val="00091955"/>
    <w:rsid w:val="0009297E"/>
    <w:rsid w:val="00092A89"/>
    <w:rsid w:val="00093FB7"/>
    <w:rsid w:val="000941D2"/>
    <w:rsid w:val="00094909"/>
    <w:rsid w:val="0009648B"/>
    <w:rsid w:val="00096583"/>
    <w:rsid w:val="00096BF9"/>
    <w:rsid w:val="0009767B"/>
    <w:rsid w:val="000A0DE1"/>
    <w:rsid w:val="000A3467"/>
    <w:rsid w:val="000A474A"/>
    <w:rsid w:val="000A48EC"/>
    <w:rsid w:val="000A5762"/>
    <w:rsid w:val="000A58E4"/>
    <w:rsid w:val="000A5D27"/>
    <w:rsid w:val="000A69CD"/>
    <w:rsid w:val="000A6F15"/>
    <w:rsid w:val="000A6F50"/>
    <w:rsid w:val="000A7489"/>
    <w:rsid w:val="000A7CCA"/>
    <w:rsid w:val="000B047F"/>
    <w:rsid w:val="000B0601"/>
    <w:rsid w:val="000B0A19"/>
    <w:rsid w:val="000B0E2E"/>
    <w:rsid w:val="000B0F40"/>
    <w:rsid w:val="000B0F62"/>
    <w:rsid w:val="000B103F"/>
    <w:rsid w:val="000B43F6"/>
    <w:rsid w:val="000B4829"/>
    <w:rsid w:val="000B48E0"/>
    <w:rsid w:val="000B4A21"/>
    <w:rsid w:val="000B4CE6"/>
    <w:rsid w:val="000B52D8"/>
    <w:rsid w:val="000B53E5"/>
    <w:rsid w:val="000B5769"/>
    <w:rsid w:val="000B57DD"/>
    <w:rsid w:val="000B7367"/>
    <w:rsid w:val="000C0030"/>
    <w:rsid w:val="000C0B9C"/>
    <w:rsid w:val="000C16C1"/>
    <w:rsid w:val="000C211A"/>
    <w:rsid w:val="000C24B9"/>
    <w:rsid w:val="000C2633"/>
    <w:rsid w:val="000C35C1"/>
    <w:rsid w:val="000C4EE9"/>
    <w:rsid w:val="000C4FDF"/>
    <w:rsid w:val="000C5263"/>
    <w:rsid w:val="000C56B8"/>
    <w:rsid w:val="000C60DD"/>
    <w:rsid w:val="000C688C"/>
    <w:rsid w:val="000C6B7E"/>
    <w:rsid w:val="000C772F"/>
    <w:rsid w:val="000C77CD"/>
    <w:rsid w:val="000C7FD4"/>
    <w:rsid w:val="000D009E"/>
    <w:rsid w:val="000D0630"/>
    <w:rsid w:val="000D0F4F"/>
    <w:rsid w:val="000D1027"/>
    <w:rsid w:val="000D1268"/>
    <w:rsid w:val="000D12C4"/>
    <w:rsid w:val="000D1CC7"/>
    <w:rsid w:val="000D3067"/>
    <w:rsid w:val="000D3204"/>
    <w:rsid w:val="000D366C"/>
    <w:rsid w:val="000D38ED"/>
    <w:rsid w:val="000D5330"/>
    <w:rsid w:val="000D5606"/>
    <w:rsid w:val="000D5C8B"/>
    <w:rsid w:val="000D75F6"/>
    <w:rsid w:val="000D7C16"/>
    <w:rsid w:val="000E0CAE"/>
    <w:rsid w:val="000E11F3"/>
    <w:rsid w:val="000E2E67"/>
    <w:rsid w:val="000E567B"/>
    <w:rsid w:val="000E57BC"/>
    <w:rsid w:val="000E7B8E"/>
    <w:rsid w:val="000F0941"/>
    <w:rsid w:val="000F1AE9"/>
    <w:rsid w:val="000F2954"/>
    <w:rsid w:val="000F2BF3"/>
    <w:rsid w:val="000F389C"/>
    <w:rsid w:val="000F41C4"/>
    <w:rsid w:val="000F466C"/>
    <w:rsid w:val="000F473B"/>
    <w:rsid w:val="000F4D02"/>
    <w:rsid w:val="000F5535"/>
    <w:rsid w:val="000F799B"/>
    <w:rsid w:val="00100E22"/>
    <w:rsid w:val="0010128D"/>
    <w:rsid w:val="0010153A"/>
    <w:rsid w:val="0010183B"/>
    <w:rsid w:val="00102BEE"/>
    <w:rsid w:val="00103CEE"/>
    <w:rsid w:val="0010436C"/>
    <w:rsid w:val="00104F9E"/>
    <w:rsid w:val="00106F17"/>
    <w:rsid w:val="00110743"/>
    <w:rsid w:val="001107B3"/>
    <w:rsid w:val="001107C3"/>
    <w:rsid w:val="0011202B"/>
    <w:rsid w:val="0011220E"/>
    <w:rsid w:val="0011253F"/>
    <w:rsid w:val="00114662"/>
    <w:rsid w:val="0011595A"/>
    <w:rsid w:val="00115C29"/>
    <w:rsid w:val="00116597"/>
    <w:rsid w:val="00116981"/>
    <w:rsid w:val="00116CAA"/>
    <w:rsid w:val="001202E5"/>
    <w:rsid w:val="001204D9"/>
    <w:rsid w:val="0012088A"/>
    <w:rsid w:val="00121260"/>
    <w:rsid w:val="00121DC8"/>
    <w:rsid w:val="00122154"/>
    <w:rsid w:val="00122A8D"/>
    <w:rsid w:val="0012375F"/>
    <w:rsid w:val="00123A31"/>
    <w:rsid w:val="00123DAE"/>
    <w:rsid w:val="00123E16"/>
    <w:rsid w:val="00125AFA"/>
    <w:rsid w:val="00125C53"/>
    <w:rsid w:val="00125F6C"/>
    <w:rsid w:val="0012603E"/>
    <w:rsid w:val="00126399"/>
    <w:rsid w:val="00126774"/>
    <w:rsid w:val="00126DE2"/>
    <w:rsid w:val="00127336"/>
    <w:rsid w:val="00131E79"/>
    <w:rsid w:val="001328A3"/>
    <w:rsid w:val="00133501"/>
    <w:rsid w:val="00133872"/>
    <w:rsid w:val="00133FD0"/>
    <w:rsid w:val="00134274"/>
    <w:rsid w:val="0013594B"/>
    <w:rsid w:val="00135B88"/>
    <w:rsid w:val="00135BD0"/>
    <w:rsid w:val="00137455"/>
    <w:rsid w:val="001374BB"/>
    <w:rsid w:val="00137563"/>
    <w:rsid w:val="0013797E"/>
    <w:rsid w:val="001407A8"/>
    <w:rsid w:val="00140F7A"/>
    <w:rsid w:val="00141423"/>
    <w:rsid w:val="00143B78"/>
    <w:rsid w:val="001445B3"/>
    <w:rsid w:val="001447D6"/>
    <w:rsid w:val="00145751"/>
    <w:rsid w:val="00145AFA"/>
    <w:rsid w:val="00146029"/>
    <w:rsid w:val="00146B9F"/>
    <w:rsid w:val="00146F5D"/>
    <w:rsid w:val="001512A9"/>
    <w:rsid w:val="00152BA8"/>
    <w:rsid w:val="00153576"/>
    <w:rsid w:val="00153CEA"/>
    <w:rsid w:val="00154C61"/>
    <w:rsid w:val="0015536D"/>
    <w:rsid w:val="0015547B"/>
    <w:rsid w:val="00155547"/>
    <w:rsid w:val="00155D26"/>
    <w:rsid w:val="00156399"/>
    <w:rsid w:val="00157E23"/>
    <w:rsid w:val="00160045"/>
    <w:rsid w:val="001606C8"/>
    <w:rsid w:val="001617EF"/>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4F87"/>
    <w:rsid w:val="001776DB"/>
    <w:rsid w:val="00180532"/>
    <w:rsid w:val="00180F43"/>
    <w:rsid w:val="0018110A"/>
    <w:rsid w:val="0018120A"/>
    <w:rsid w:val="001821D9"/>
    <w:rsid w:val="00182400"/>
    <w:rsid w:val="00182852"/>
    <w:rsid w:val="00182F4A"/>
    <w:rsid w:val="00183493"/>
    <w:rsid w:val="00183AEF"/>
    <w:rsid w:val="00183E5F"/>
    <w:rsid w:val="001844D5"/>
    <w:rsid w:val="00184FDF"/>
    <w:rsid w:val="001858EC"/>
    <w:rsid w:val="00185EEE"/>
    <w:rsid w:val="00187C7B"/>
    <w:rsid w:val="00187FCA"/>
    <w:rsid w:val="00190266"/>
    <w:rsid w:val="00192566"/>
    <w:rsid w:val="0019291A"/>
    <w:rsid w:val="00192A50"/>
    <w:rsid w:val="00192AF9"/>
    <w:rsid w:val="001933AB"/>
    <w:rsid w:val="00193BE3"/>
    <w:rsid w:val="001946D3"/>
    <w:rsid w:val="00195FA8"/>
    <w:rsid w:val="001961AF"/>
    <w:rsid w:val="00196EB9"/>
    <w:rsid w:val="0019766F"/>
    <w:rsid w:val="001A0039"/>
    <w:rsid w:val="001A0664"/>
    <w:rsid w:val="001A0A6F"/>
    <w:rsid w:val="001A1513"/>
    <w:rsid w:val="001A192E"/>
    <w:rsid w:val="001A293C"/>
    <w:rsid w:val="001A644A"/>
    <w:rsid w:val="001A6721"/>
    <w:rsid w:val="001A713D"/>
    <w:rsid w:val="001A7521"/>
    <w:rsid w:val="001B045B"/>
    <w:rsid w:val="001B0536"/>
    <w:rsid w:val="001B1A48"/>
    <w:rsid w:val="001B2255"/>
    <w:rsid w:val="001B22EA"/>
    <w:rsid w:val="001B2940"/>
    <w:rsid w:val="001B3330"/>
    <w:rsid w:val="001B4551"/>
    <w:rsid w:val="001B6A37"/>
    <w:rsid w:val="001B6C26"/>
    <w:rsid w:val="001B6F16"/>
    <w:rsid w:val="001B7FE1"/>
    <w:rsid w:val="001C05C5"/>
    <w:rsid w:val="001C14B0"/>
    <w:rsid w:val="001C159C"/>
    <w:rsid w:val="001C16E2"/>
    <w:rsid w:val="001C241B"/>
    <w:rsid w:val="001C2F11"/>
    <w:rsid w:val="001C33DF"/>
    <w:rsid w:val="001C3686"/>
    <w:rsid w:val="001C42C7"/>
    <w:rsid w:val="001C5783"/>
    <w:rsid w:val="001C7B4B"/>
    <w:rsid w:val="001C7DD6"/>
    <w:rsid w:val="001D02FD"/>
    <w:rsid w:val="001D0A2B"/>
    <w:rsid w:val="001D147B"/>
    <w:rsid w:val="001D179B"/>
    <w:rsid w:val="001D17C4"/>
    <w:rsid w:val="001D2407"/>
    <w:rsid w:val="001D4133"/>
    <w:rsid w:val="001D4589"/>
    <w:rsid w:val="001D58C1"/>
    <w:rsid w:val="001D5B4B"/>
    <w:rsid w:val="001D61F1"/>
    <w:rsid w:val="001D6708"/>
    <w:rsid w:val="001D68A9"/>
    <w:rsid w:val="001D7150"/>
    <w:rsid w:val="001D7663"/>
    <w:rsid w:val="001D7804"/>
    <w:rsid w:val="001E0E81"/>
    <w:rsid w:val="001E1330"/>
    <w:rsid w:val="001E2EAA"/>
    <w:rsid w:val="001E4281"/>
    <w:rsid w:val="001E5522"/>
    <w:rsid w:val="001E7133"/>
    <w:rsid w:val="001E7529"/>
    <w:rsid w:val="001E76E9"/>
    <w:rsid w:val="001F1D18"/>
    <w:rsid w:val="001F26F5"/>
    <w:rsid w:val="001F38A3"/>
    <w:rsid w:val="001F3941"/>
    <w:rsid w:val="001F3A28"/>
    <w:rsid w:val="001F3D8A"/>
    <w:rsid w:val="001F4885"/>
    <w:rsid w:val="001F60CB"/>
    <w:rsid w:val="001F6788"/>
    <w:rsid w:val="001F6F05"/>
    <w:rsid w:val="001F7710"/>
    <w:rsid w:val="002018F1"/>
    <w:rsid w:val="002018F9"/>
    <w:rsid w:val="002031AF"/>
    <w:rsid w:val="002036B8"/>
    <w:rsid w:val="00203933"/>
    <w:rsid w:val="00203D7A"/>
    <w:rsid w:val="00204085"/>
    <w:rsid w:val="0020473B"/>
    <w:rsid w:val="00205F5D"/>
    <w:rsid w:val="0020619D"/>
    <w:rsid w:val="00206386"/>
    <w:rsid w:val="00206A9E"/>
    <w:rsid w:val="002070DE"/>
    <w:rsid w:val="00207266"/>
    <w:rsid w:val="00207437"/>
    <w:rsid w:val="00207AA8"/>
    <w:rsid w:val="002104DD"/>
    <w:rsid w:val="00211F98"/>
    <w:rsid w:val="0021321B"/>
    <w:rsid w:val="002136E7"/>
    <w:rsid w:val="00213DD3"/>
    <w:rsid w:val="0021496B"/>
    <w:rsid w:val="002155D3"/>
    <w:rsid w:val="00215CE7"/>
    <w:rsid w:val="002165B1"/>
    <w:rsid w:val="00217844"/>
    <w:rsid w:val="00217AF5"/>
    <w:rsid w:val="0022058A"/>
    <w:rsid w:val="00220FF0"/>
    <w:rsid w:val="0022105A"/>
    <w:rsid w:val="00222D4C"/>
    <w:rsid w:val="002237E8"/>
    <w:rsid w:val="002239AF"/>
    <w:rsid w:val="00224081"/>
    <w:rsid w:val="00224E8D"/>
    <w:rsid w:val="00224F6A"/>
    <w:rsid w:val="00225860"/>
    <w:rsid w:val="00225B6F"/>
    <w:rsid w:val="0023072F"/>
    <w:rsid w:val="00231CA6"/>
    <w:rsid w:val="00231E0F"/>
    <w:rsid w:val="002335CD"/>
    <w:rsid w:val="00235671"/>
    <w:rsid w:val="0023587D"/>
    <w:rsid w:val="002360A3"/>
    <w:rsid w:val="00236140"/>
    <w:rsid w:val="00236898"/>
    <w:rsid w:val="0023760D"/>
    <w:rsid w:val="0023772D"/>
    <w:rsid w:val="00241BBF"/>
    <w:rsid w:val="00241EF0"/>
    <w:rsid w:val="00242B8C"/>
    <w:rsid w:val="002437A7"/>
    <w:rsid w:val="0024479B"/>
    <w:rsid w:val="00245FBA"/>
    <w:rsid w:val="002460A3"/>
    <w:rsid w:val="00246504"/>
    <w:rsid w:val="00246547"/>
    <w:rsid w:val="00246E8C"/>
    <w:rsid w:val="00247174"/>
    <w:rsid w:val="002476BA"/>
    <w:rsid w:val="00247B01"/>
    <w:rsid w:val="0025051B"/>
    <w:rsid w:val="00250EBB"/>
    <w:rsid w:val="00252057"/>
    <w:rsid w:val="0025295B"/>
    <w:rsid w:val="002530D9"/>
    <w:rsid w:val="002537D4"/>
    <w:rsid w:val="00255065"/>
    <w:rsid w:val="00255922"/>
    <w:rsid w:val="00257050"/>
    <w:rsid w:val="00257B8F"/>
    <w:rsid w:val="0026077F"/>
    <w:rsid w:val="0026082A"/>
    <w:rsid w:val="002615D1"/>
    <w:rsid w:val="0026188A"/>
    <w:rsid w:val="00261B4C"/>
    <w:rsid w:val="0026294D"/>
    <w:rsid w:val="00262D4B"/>
    <w:rsid w:val="0026302A"/>
    <w:rsid w:val="00263BCA"/>
    <w:rsid w:val="00264056"/>
    <w:rsid w:val="00264C60"/>
    <w:rsid w:val="002653E4"/>
    <w:rsid w:val="00265505"/>
    <w:rsid w:val="0026649D"/>
    <w:rsid w:val="002665F6"/>
    <w:rsid w:val="0026721C"/>
    <w:rsid w:val="002673C0"/>
    <w:rsid w:val="00267B73"/>
    <w:rsid w:val="002700B1"/>
    <w:rsid w:val="0027089E"/>
    <w:rsid w:val="002713D6"/>
    <w:rsid w:val="00271490"/>
    <w:rsid w:val="00272100"/>
    <w:rsid w:val="002726E0"/>
    <w:rsid w:val="002731E0"/>
    <w:rsid w:val="002733C2"/>
    <w:rsid w:val="00273F2A"/>
    <w:rsid w:val="00274D44"/>
    <w:rsid w:val="00274E15"/>
    <w:rsid w:val="002751B3"/>
    <w:rsid w:val="00275B00"/>
    <w:rsid w:val="00276187"/>
    <w:rsid w:val="00276A8E"/>
    <w:rsid w:val="0027799A"/>
    <w:rsid w:val="00277F1A"/>
    <w:rsid w:val="002801B6"/>
    <w:rsid w:val="002818ED"/>
    <w:rsid w:val="002820AF"/>
    <w:rsid w:val="0028288B"/>
    <w:rsid w:val="00282B0E"/>
    <w:rsid w:val="00282BB3"/>
    <w:rsid w:val="00283144"/>
    <w:rsid w:val="00283D87"/>
    <w:rsid w:val="00283F9D"/>
    <w:rsid w:val="00284940"/>
    <w:rsid w:val="0028552F"/>
    <w:rsid w:val="002876A3"/>
    <w:rsid w:val="002901F0"/>
    <w:rsid w:val="00290868"/>
    <w:rsid w:val="002938AC"/>
    <w:rsid w:val="002940BF"/>
    <w:rsid w:val="002942A4"/>
    <w:rsid w:val="00295EDE"/>
    <w:rsid w:val="00295F91"/>
    <w:rsid w:val="00296CCC"/>
    <w:rsid w:val="00296CE8"/>
    <w:rsid w:val="00297415"/>
    <w:rsid w:val="002A0F6B"/>
    <w:rsid w:val="002A1014"/>
    <w:rsid w:val="002A1A9A"/>
    <w:rsid w:val="002A2927"/>
    <w:rsid w:val="002A3FC7"/>
    <w:rsid w:val="002A47A1"/>
    <w:rsid w:val="002A4B2A"/>
    <w:rsid w:val="002A5A3F"/>
    <w:rsid w:val="002A5A90"/>
    <w:rsid w:val="002A690F"/>
    <w:rsid w:val="002A6C69"/>
    <w:rsid w:val="002A7737"/>
    <w:rsid w:val="002B0788"/>
    <w:rsid w:val="002B0A01"/>
    <w:rsid w:val="002B0AC0"/>
    <w:rsid w:val="002B0CF5"/>
    <w:rsid w:val="002B0EC4"/>
    <w:rsid w:val="002B151A"/>
    <w:rsid w:val="002B41CE"/>
    <w:rsid w:val="002B45FF"/>
    <w:rsid w:val="002B517C"/>
    <w:rsid w:val="002B7276"/>
    <w:rsid w:val="002B7A71"/>
    <w:rsid w:val="002C0411"/>
    <w:rsid w:val="002C1348"/>
    <w:rsid w:val="002C13CE"/>
    <w:rsid w:val="002C171B"/>
    <w:rsid w:val="002C244A"/>
    <w:rsid w:val="002C28AB"/>
    <w:rsid w:val="002C32C2"/>
    <w:rsid w:val="002C3881"/>
    <w:rsid w:val="002C4888"/>
    <w:rsid w:val="002C4964"/>
    <w:rsid w:val="002C4E25"/>
    <w:rsid w:val="002C4F9A"/>
    <w:rsid w:val="002C5252"/>
    <w:rsid w:val="002C59DD"/>
    <w:rsid w:val="002C5D83"/>
    <w:rsid w:val="002C6937"/>
    <w:rsid w:val="002C6A66"/>
    <w:rsid w:val="002C6B36"/>
    <w:rsid w:val="002C6C8B"/>
    <w:rsid w:val="002C6DBF"/>
    <w:rsid w:val="002C6F34"/>
    <w:rsid w:val="002C7A52"/>
    <w:rsid w:val="002D0B49"/>
    <w:rsid w:val="002D158F"/>
    <w:rsid w:val="002D18F1"/>
    <w:rsid w:val="002D21CE"/>
    <w:rsid w:val="002D3B44"/>
    <w:rsid w:val="002D6109"/>
    <w:rsid w:val="002D73CE"/>
    <w:rsid w:val="002E0143"/>
    <w:rsid w:val="002E01D6"/>
    <w:rsid w:val="002E03E7"/>
    <w:rsid w:val="002E120B"/>
    <w:rsid w:val="002E1B62"/>
    <w:rsid w:val="002E3720"/>
    <w:rsid w:val="002E3881"/>
    <w:rsid w:val="002E4D68"/>
    <w:rsid w:val="002E5A66"/>
    <w:rsid w:val="002E5DAD"/>
    <w:rsid w:val="002E665F"/>
    <w:rsid w:val="002E777F"/>
    <w:rsid w:val="002E7BF2"/>
    <w:rsid w:val="002F0C14"/>
    <w:rsid w:val="002F1418"/>
    <w:rsid w:val="002F27EE"/>
    <w:rsid w:val="002F2F71"/>
    <w:rsid w:val="002F40B9"/>
    <w:rsid w:val="002F45EF"/>
    <w:rsid w:val="002F4F5E"/>
    <w:rsid w:val="002F4FDB"/>
    <w:rsid w:val="002F5103"/>
    <w:rsid w:val="002F548D"/>
    <w:rsid w:val="002F63DD"/>
    <w:rsid w:val="002F64BF"/>
    <w:rsid w:val="002F7524"/>
    <w:rsid w:val="002F7598"/>
    <w:rsid w:val="002F790B"/>
    <w:rsid w:val="002F79A1"/>
    <w:rsid w:val="003003C7"/>
    <w:rsid w:val="003004AA"/>
    <w:rsid w:val="003019C9"/>
    <w:rsid w:val="003019F5"/>
    <w:rsid w:val="00301C42"/>
    <w:rsid w:val="00301F88"/>
    <w:rsid w:val="003025A3"/>
    <w:rsid w:val="00302F49"/>
    <w:rsid w:val="003036C9"/>
    <w:rsid w:val="0030390B"/>
    <w:rsid w:val="003045FF"/>
    <w:rsid w:val="00305561"/>
    <w:rsid w:val="00305CB1"/>
    <w:rsid w:val="00307150"/>
    <w:rsid w:val="003077C8"/>
    <w:rsid w:val="00307984"/>
    <w:rsid w:val="0031062E"/>
    <w:rsid w:val="003109FC"/>
    <w:rsid w:val="0031192C"/>
    <w:rsid w:val="0031255A"/>
    <w:rsid w:val="00313218"/>
    <w:rsid w:val="00313A76"/>
    <w:rsid w:val="00314276"/>
    <w:rsid w:val="00314C1F"/>
    <w:rsid w:val="00314C28"/>
    <w:rsid w:val="00315042"/>
    <w:rsid w:val="00315C4A"/>
    <w:rsid w:val="00316E77"/>
    <w:rsid w:val="00316FCF"/>
    <w:rsid w:val="0031770A"/>
    <w:rsid w:val="003218DE"/>
    <w:rsid w:val="00321CB1"/>
    <w:rsid w:val="00321DB2"/>
    <w:rsid w:val="003221C5"/>
    <w:rsid w:val="0032232D"/>
    <w:rsid w:val="00324284"/>
    <w:rsid w:val="00324D0E"/>
    <w:rsid w:val="003251F9"/>
    <w:rsid w:val="003252A8"/>
    <w:rsid w:val="00325AEE"/>
    <w:rsid w:val="003268FE"/>
    <w:rsid w:val="003276EE"/>
    <w:rsid w:val="00327E35"/>
    <w:rsid w:val="00330467"/>
    <w:rsid w:val="00330B19"/>
    <w:rsid w:val="00331C58"/>
    <w:rsid w:val="003323CC"/>
    <w:rsid w:val="003323E0"/>
    <w:rsid w:val="0033242B"/>
    <w:rsid w:val="0033309C"/>
    <w:rsid w:val="00333DF8"/>
    <w:rsid w:val="003345AF"/>
    <w:rsid w:val="00334D0D"/>
    <w:rsid w:val="00334FDC"/>
    <w:rsid w:val="0033685C"/>
    <w:rsid w:val="00337BEC"/>
    <w:rsid w:val="00337E3A"/>
    <w:rsid w:val="00340173"/>
    <w:rsid w:val="0034167D"/>
    <w:rsid w:val="00341D6D"/>
    <w:rsid w:val="00341E49"/>
    <w:rsid w:val="003428B9"/>
    <w:rsid w:val="00343301"/>
    <w:rsid w:val="0034350E"/>
    <w:rsid w:val="00344E0D"/>
    <w:rsid w:val="00345181"/>
    <w:rsid w:val="0034652F"/>
    <w:rsid w:val="00346C05"/>
    <w:rsid w:val="003503C8"/>
    <w:rsid w:val="00350538"/>
    <w:rsid w:val="00350B3F"/>
    <w:rsid w:val="003522D1"/>
    <w:rsid w:val="00352782"/>
    <w:rsid w:val="00354678"/>
    <w:rsid w:val="00354E6C"/>
    <w:rsid w:val="00355459"/>
    <w:rsid w:val="003554C4"/>
    <w:rsid w:val="00355757"/>
    <w:rsid w:val="00356402"/>
    <w:rsid w:val="00356544"/>
    <w:rsid w:val="00356DAA"/>
    <w:rsid w:val="00357534"/>
    <w:rsid w:val="00357862"/>
    <w:rsid w:val="00357D37"/>
    <w:rsid w:val="00360018"/>
    <w:rsid w:val="003611C5"/>
    <w:rsid w:val="00361728"/>
    <w:rsid w:val="00361732"/>
    <w:rsid w:val="003624C9"/>
    <w:rsid w:val="00363310"/>
    <w:rsid w:val="00363376"/>
    <w:rsid w:val="00364ACC"/>
    <w:rsid w:val="00365D58"/>
    <w:rsid w:val="00366B1F"/>
    <w:rsid w:val="00366BF9"/>
    <w:rsid w:val="0036735D"/>
    <w:rsid w:val="003675B3"/>
    <w:rsid w:val="00370350"/>
    <w:rsid w:val="00370DCB"/>
    <w:rsid w:val="0037223C"/>
    <w:rsid w:val="0037239E"/>
    <w:rsid w:val="003727CE"/>
    <w:rsid w:val="003730B6"/>
    <w:rsid w:val="003742C3"/>
    <w:rsid w:val="00375465"/>
    <w:rsid w:val="00375918"/>
    <w:rsid w:val="003765AD"/>
    <w:rsid w:val="0037672E"/>
    <w:rsid w:val="00376CA0"/>
    <w:rsid w:val="00376EE9"/>
    <w:rsid w:val="00377430"/>
    <w:rsid w:val="003775C8"/>
    <w:rsid w:val="0037777A"/>
    <w:rsid w:val="0038019B"/>
    <w:rsid w:val="00380913"/>
    <w:rsid w:val="00380947"/>
    <w:rsid w:val="00380A97"/>
    <w:rsid w:val="00381636"/>
    <w:rsid w:val="00381B95"/>
    <w:rsid w:val="00383C67"/>
    <w:rsid w:val="003842B5"/>
    <w:rsid w:val="0038551C"/>
    <w:rsid w:val="00387CD1"/>
    <w:rsid w:val="003921EA"/>
    <w:rsid w:val="00392A9F"/>
    <w:rsid w:val="00392C20"/>
    <w:rsid w:val="003935E5"/>
    <w:rsid w:val="0039423D"/>
    <w:rsid w:val="00394570"/>
    <w:rsid w:val="00394604"/>
    <w:rsid w:val="003956E6"/>
    <w:rsid w:val="0039594B"/>
    <w:rsid w:val="00397319"/>
    <w:rsid w:val="00397664"/>
    <w:rsid w:val="003976D4"/>
    <w:rsid w:val="00397DFA"/>
    <w:rsid w:val="00397EE8"/>
    <w:rsid w:val="003A03A6"/>
    <w:rsid w:val="003A1D3F"/>
    <w:rsid w:val="003A2D29"/>
    <w:rsid w:val="003A53FC"/>
    <w:rsid w:val="003A5739"/>
    <w:rsid w:val="003A57D4"/>
    <w:rsid w:val="003A64B0"/>
    <w:rsid w:val="003A6500"/>
    <w:rsid w:val="003A6AA0"/>
    <w:rsid w:val="003A6D65"/>
    <w:rsid w:val="003A79AC"/>
    <w:rsid w:val="003A7B0A"/>
    <w:rsid w:val="003B14A5"/>
    <w:rsid w:val="003B16CE"/>
    <w:rsid w:val="003B1ADC"/>
    <w:rsid w:val="003B1BF6"/>
    <w:rsid w:val="003B2666"/>
    <w:rsid w:val="003B2BA4"/>
    <w:rsid w:val="003B3D07"/>
    <w:rsid w:val="003B40F4"/>
    <w:rsid w:val="003B45AC"/>
    <w:rsid w:val="003B51CC"/>
    <w:rsid w:val="003B60EF"/>
    <w:rsid w:val="003B6242"/>
    <w:rsid w:val="003B6991"/>
    <w:rsid w:val="003B7DAF"/>
    <w:rsid w:val="003C0520"/>
    <w:rsid w:val="003C2832"/>
    <w:rsid w:val="003C41BD"/>
    <w:rsid w:val="003C5092"/>
    <w:rsid w:val="003C5BC4"/>
    <w:rsid w:val="003C5DBA"/>
    <w:rsid w:val="003C627D"/>
    <w:rsid w:val="003C63A3"/>
    <w:rsid w:val="003C76EE"/>
    <w:rsid w:val="003C7A26"/>
    <w:rsid w:val="003D0EE7"/>
    <w:rsid w:val="003D101E"/>
    <w:rsid w:val="003D224A"/>
    <w:rsid w:val="003D2E3F"/>
    <w:rsid w:val="003D2FC3"/>
    <w:rsid w:val="003D3DC3"/>
    <w:rsid w:val="003D420F"/>
    <w:rsid w:val="003D4340"/>
    <w:rsid w:val="003D4BA2"/>
    <w:rsid w:val="003D504A"/>
    <w:rsid w:val="003D52EE"/>
    <w:rsid w:val="003D5B12"/>
    <w:rsid w:val="003D5D10"/>
    <w:rsid w:val="003D5FAE"/>
    <w:rsid w:val="003D7070"/>
    <w:rsid w:val="003D7332"/>
    <w:rsid w:val="003D79BC"/>
    <w:rsid w:val="003D7FAE"/>
    <w:rsid w:val="003E0CB7"/>
    <w:rsid w:val="003E31E7"/>
    <w:rsid w:val="003E3F20"/>
    <w:rsid w:val="003E41C7"/>
    <w:rsid w:val="003E41D0"/>
    <w:rsid w:val="003E46FB"/>
    <w:rsid w:val="003E4EAB"/>
    <w:rsid w:val="003E5200"/>
    <w:rsid w:val="003E5C1B"/>
    <w:rsid w:val="003E64DB"/>
    <w:rsid w:val="003E651C"/>
    <w:rsid w:val="003E65DE"/>
    <w:rsid w:val="003E67A7"/>
    <w:rsid w:val="003F1E2C"/>
    <w:rsid w:val="003F2D44"/>
    <w:rsid w:val="003F3268"/>
    <w:rsid w:val="003F5280"/>
    <w:rsid w:val="003F52C2"/>
    <w:rsid w:val="003F7586"/>
    <w:rsid w:val="00401986"/>
    <w:rsid w:val="004025F1"/>
    <w:rsid w:val="00403725"/>
    <w:rsid w:val="004039CA"/>
    <w:rsid w:val="00403D7C"/>
    <w:rsid w:val="00404280"/>
    <w:rsid w:val="00404BDC"/>
    <w:rsid w:val="00406B6F"/>
    <w:rsid w:val="004075F6"/>
    <w:rsid w:val="0040796F"/>
    <w:rsid w:val="00407D73"/>
    <w:rsid w:val="00407F20"/>
    <w:rsid w:val="0041027F"/>
    <w:rsid w:val="00410722"/>
    <w:rsid w:val="00410A8F"/>
    <w:rsid w:val="00412870"/>
    <w:rsid w:val="0041423B"/>
    <w:rsid w:val="00414FE3"/>
    <w:rsid w:val="004161D5"/>
    <w:rsid w:val="00416B4F"/>
    <w:rsid w:val="0041768B"/>
    <w:rsid w:val="004176A7"/>
    <w:rsid w:val="004200BA"/>
    <w:rsid w:val="004205D6"/>
    <w:rsid w:val="00421084"/>
    <w:rsid w:val="004211CF"/>
    <w:rsid w:val="00421F8F"/>
    <w:rsid w:val="0042246B"/>
    <w:rsid w:val="004233DF"/>
    <w:rsid w:val="004234C4"/>
    <w:rsid w:val="00423F32"/>
    <w:rsid w:val="00424390"/>
    <w:rsid w:val="00424EA1"/>
    <w:rsid w:val="004256BD"/>
    <w:rsid w:val="00425748"/>
    <w:rsid w:val="004263F0"/>
    <w:rsid w:val="00427936"/>
    <w:rsid w:val="00431AF9"/>
    <w:rsid w:val="004320D0"/>
    <w:rsid w:val="00432448"/>
    <w:rsid w:val="00433942"/>
    <w:rsid w:val="00433EF8"/>
    <w:rsid w:val="00434E4F"/>
    <w:rsid w:val="00435FBD"/>
    <w:rsid w:val="004360EE"/>
    <w:rsid w:val="00436225"/>
    <w:rsid w:val="0043623F"/>
    <w:rsid w:val="0043735A"/>
    <w:rsid w:val="00440D87"/>
    <w:rsid w:val="00440FC2"/>
    <w:rsid w:val="00441A8D"/>
    <w:rsid w:val="00441CEE"/>
    <w:rsid w:val="00441EAD"/>
    <w:rsid w:val="0044400B"/>
    <w:rsid w:val="004456A4"/>
    <w:rsid w:val="004456C9"/>
    <w:rsid w:val="00445B8B"/>
    <w:rsid w:val="00446943"/>
    <w:rsid w:val="00446D79"/>
    <w:rsid w:val="00446E26"/>
    <w:rsid w:val="00446F11"/>
    <w:rsid w:val="004478B7"/>
    <w:rsid w:val="00450053"/>
    <w:rsid w:val="00450D59"/>
    <w:rsid w:val="00451080"/>
    <w:rsid w:val="004511A2"/>
    <w:rsid w:val="004518FF"/>
    <w:rsid w:val="00451C7F"/>
    <w:rsid w:val="00452291"/>
    <w:rsid w:val="00452900"/>
    <w:rsid w:val="0045292A"/>
    <w:rsid w:val="00452DCC"/>
    <w:rsid w:val="00452F0C"/>
    <w:rsid w:val="00453ABC"/>
    <w:rsid w:val="00455E9A"/>
    <w:rsid w:val="00456532"/>
    <w:rsid w:val="00457FC6"/>
    <w:rsid w:val="004604FD"/>
    <w:rsid w:val="00460ABD"/>
    <w:rsid w:val="004619CA"/>
    <w:rsid w:val="00461B95"/>
    <w:rsid w:val="0046285B"/>
    <w:rsid w:val="00463ADF"/>
    <w:rsid w:val="0046415D"/>
    <w:rsid w:val="00464613"/>
    <w:rsid w:val="004646A1"/>
    <w:rsid w:val="00464F79"/>
    <w:rsid w:val="004653C9"/>
    <w:rsid w:val="00466940"/>
    <w:rsid w:val="00466E44"/>
    <w:rsid w:val="0046780F"/>
    <w:rsid w:val="00467C68"/>
    <w:rsid w:val="0047011B"/>
    <w:rsid w:val="004707FC"/>
    <w:rsid w:val="00470AF1"/>
    <w:rsid w:val="004713F1"/>
    <w:rsid w:val="004719DB"/>
    <w:rsid w:val="0047246F"/>
    <w:rsid w:val="00472E98"/>
    <w:rsid w:val="0047367E"/>
    <w:rsid w:val="00473887"/>
    <w:rsid w:val="00474642"/>
    <w:rsid w:val="00475C95"/>
    <w:rsid w:val="004766AD"/>
    <w:rsid w:val="00477F43"/>
    <w:rsid w:val="00477FCB"/>
    <w:rsid w:val="00480A6A"/>
    <w:rsid w:val="004816A4"/>
    <w:rsid w:val="00483716"/>
    <w:rsid w:val="00484C5D"/>
    <w:rsid w:val="0048732A"/>
    <w:rsid w:val="00487CF4"/>
    <w:rsid w:val="00490AFD"/>
    <w:rsid w:val="00492536"/>
    <w:rsid w:val="00492890"/>
    <w:rsid w:val="00492951"/>
    <w:rsid w:val="00493527"/>
    <w:rsid w:val="00493CE3"/>
    <w:rsid w:val="00495406"/>
    <w:rsid w:val="004961BA"/>
    <w:rsid w:val="00496640"/>
    <w:rsid w:val="0049667C"/>
    <w:rsid w:val="00496AE3"/>
    <w:rsid w:val="00497E5A"/>
    <w:rsid w:val="004A0333"/>
    <w:rsid w:val="004A0C0F"/>
    <w:rsid w:val="004A10BB"/>
    <w:rsid w:val="004A1E1E"/>
    <w:rsid w:val="004A2157"/>
    <w:rsid w:val="004A3449"/>
    <w:rsid w:val="004A3BA3"/>
    <w:rsid w:val="004A3C87"/>
    <w:rsid w:val="004A44FB"/>
    <w:rsid w:val="004A4A73"/>
    <w:rsid w:val="004A617D"/>
    <w:rsid w:val="004A6E3A"/>
    <w:rsid w:val="004A6F8F"/>
    <w:rsid w:val="004A743C"/>
    <w:rsid w:val="004A7544"/>
    <w:rsid w:val="004A7C94"/>
    <w:rsid w:val="004B00B4"/>
    <w:rsid w:val="004B01F4"/>
    <w:rsid w:val="004B0CC8"/>
    <w:rsid w:val="004B29B4"/>
    <w:rsid w:val="004B2BE0"/>
    <w:rsid w:val="004B2D6B"/>
    <w:rsid w:val="004B3193"/>
    <w:rsid w:val="004B40CB"/>
    <w:rsid w:val="004B4200"/>
    <w:rsid w:val="004B4EEC"/>
    <w:rsid w:val="004B4FEF"/>
    <w:rsid w:val="004B5A0A"/>
    <w:rsid w:val="004B5F10"/>
    <w:rsid w:val="004B60D7"/>
    <w:rsid w:val="004B71F6"/>
    <w:rsid w:val="004B7A4D"/>
    <w:rsid w:val="004B7E13"/>
    <w:rsid w:val="004C1093"/>
    <w:rsid w:val="004C1C35"/>
    <w:rsid w:val="004C2203"/>
    <w:rsid w:val="004C3781"/>
    <w:rsid w:val="004C4421"/>
    <w:rsid w:val="004C64BF"/>
    <w:rsid w:val="004C674C"/>
    <w:rsid w:val="004C70AB"/>
    <w:rsid w:val="004C7151"/>
    <w:rsid w:val="004C76A8"/>
    <w:rsid w:val="004C77E4"/>
    <w:rsid w:val="004D0856"/>
    <w:rsid w:val="004D0E62"/>
    <w:rsid w:val="004D1C51"/>
    <w:rsid w:val="004D3CCD"/>
    <w:rsid w:val="004D536C"/>
    <w:rsid w:val="004D6294"/>
    <w:rsid w:val="004D750A"/>
    <w:rsid w:val="004D7E2B"/>
    <w:rsid w:val="004E070B"/>
    <w:rsid w:val="004E092A"/>
    <w:rsid w:val="004E362B"/>
    <w:rsid w:val="004E5984"/>
    <w:rsid w:val="004E5A3D"/>
    <w:rsid w:val="004E6445"/>
    <w:rsid w:val="004E664D"/>
    <w:rsid w:val="004E6A3E"/>
    <w:rsid w:val="004E6C4F"/>
    <w:rsid w:val="004E7158"/>
    <w:rsid w:val="004F01C5"/>
    <w:rsid w:val="004F076B"/>
    <w:rsid w:val="004F3F1A"/>
    <w:rsid w:val="004F4C52"/>
    <w:rsid w:val="004F4DAE"/>
    <w:rsid w:val="004F6842"/>
    <w:rsid w:val="004F6866"/>
    <w:rsid w:val="004F6E91"/>
    <w:rsid w:val="004F726C"/>
    <w:rsid w:val="004F7AB4"/>
    <w:rsid w:val="004F7B7E"/>
    <w:rsid w:val="004F7DFB"/>
    <w:rsid w:val="00500052"/>
    <w:rsid w:val="0050015F"/>
    <w:rsid w:val="00500D76"/>
    <w:rsid w:val="00501847"/>
    <w:rsid w:val="00501BE4"/>
    <w:rsid w:val="00502B08"/>
    <w:rsid w:val="00504322"/>
    <w:rsid w:val="005046C2"/>
    <w:rsid w:val="005058AC"/>
    <w:rsid w:val="00506849"/>
    <w:rsid w:val="00506B04"/>
    <w:rsid w:val="00506B07"/>
    <w:rsid w:val="005071EF"/>
    <w:rsid w:val="00510166"/>
    <w:rsid w:val="00510ABF"/>
    <w:rsid w:val="005117FA"/>
    <w:rsid w:val="005122EB"/>
    <w:rsid w:val="00512613"/>
    <w:rsid w:val="005132CB"/>
    <w:rsid w:val="00513D71"/>
    <w:rsid w:val="005140A9"/>
    <w:rsid w:val="00516308"/>
    <w:rsid w:val="00517512"/>
    <w:rsid w:val="00517BA9"/>
    <w:rsid w:val="005220AD"/>
    <w:rsid w:val="0052212D"/>
    <w:rsid w:val="0052218D"/>
    <w:rsid w:val="005228D1"/>
    <w:rsid w:val="00522C59"/>
    <w:rsid w:val="005232CD"/>
    <w:rsid w:val="005236C7"/>
    <w:rsid w:val="005249A5"/>
    <w:rsid w:val="00525903"/>
    <w:rsid w:val="00526055"/>
    <w:rsid w:val="0052613D"/>
    <w:rsid w:val="0052650A"/>
    <w:rsid w:val="00526FAE"/>
    <w:rsid w:val="0052792E"/>
    <w:rsid w:val="00527A3E"/>
    <w:rsid w:val="00530BCB"/>
    <w:rsid w:val="00530BF0"/>
    <w:rsid w:val="005315DF"/>
    <w:rsid w:val="00532A03"/>
    <w:rsid w:val="0053340B"/>
    <w:rsid w:val="0053375C"/>
    <w:rsid w:val="00533760"/>
    <w:rsid w:val="00534006"/>
    <w:rsid w:val="0053439F"/>
    <w:rsid w:val="00534855"/>
    <w:rsid w:val="00534A34"/>
    <w:rsid w:val="00534FCF"/>
    <w:rsid w:val="00535D37"/>
    <w:rsid w:val="00537585"/>
    <w:rsid w:val="0054175F"/>
    <w:rsid w:val="00541D83"/>
    <w:rsid w:val="00542E1E"/>
    <w:rsid w:val="00544039"/>
    <w:rsid w:val="00544312"/>
    <w:rsid w:val="005443D9"/>
    <w:rsid w:val="0054451B"/>
    <w:rsid w:val="00544920"/>
    <w:rsid w:val="00544992"/>
    <w:rsid w:val="00544E32"/>
    <w:rsid w:val="00545011"/>
    <w:rsid w:val="005455D8"/>
    <w:rsid w:val="00545B91"/>
    <w:rsid w:val="00545C12"/>
    <w:rsid w:val="00546098"/>
    <w:rsid w:val="00550082"/>
    <w:rsid w:val="00550266"/>
    <w:rsid w:val="00550D19"/>
    <w:rsid w:val="0055123E"/>
    <w:rsid w:val="005519F6"/>
    <w:rsid w:val="00551ED7"/>
    <w:rsid w:val="005522B0"/>
    <w:rsid w:val="00552337"/>
    <w:rsid w:val="005533C4"/>
    <w:rsid w:val="0055343D"/>
    <w:rsid w:val="00553EF1"/>
    <w:rsid w:val="00554520"/>
    <w:rsid w:val="0055502F"/>
    <w:rsid w:val="00555616"/>
    <w:rsid w:val="005566AE"/>
    <w:rsid w:val="00556D98"/>
    <w:rsid w:val="005577E7"/>
    <w:rsid w:val="00557E33"/>
    <w:rsid w:val="005601E3"/>
    <w:rsid w:val="00561A43"/>
    <w:rsid w:val="00561D8F"/>
    <w:rsid w:val="00562B72"/>
    <w:rsid w:val="00562EA3"/>
    <w:rsid w:val="00563B5D"/>
    <w:rsid w:val="00565184"/>
    <w:rsid w:val="00565337"/>
    <w:rsid w:val="00566031"/>
    <w:rsid w:val="005668D5"/>
    <w:rsid w:val="00566E72"/>
    <w:rsid w:val="0056776F"/>
    <w:rsid w:val="005712D3"/>
    <w:rsid w:val="005713D4"/>
    <w:rsid w:val="005720CD"/>
    <w:rsid w:val="005720CE"/>
    <w:rsid w:val="00572947"/>
    <w:rsid w:val="00573034"/>
    <w:rsid w:val="0057341D"/>
    <w:rsid w:val="005739E7"/>
    <w:rsid w:val="00575F20"/>
    <w:rsid w:val="00575FD2"/>
    <w:rsid w:val="005764BA"/>
    <w:rsid w:val="00576AD4"/>
    <w:rsid w:val="00576E29"/>
    <w:rsid w:val="005775DD"/>
    <w:rsid w:val="00577CDD"/>
    <w:rsid w:val="00581ADB"/>
    <w:rsid w:val="00582375"/>
    <w:rsid w:val="00582782"/>
    <w:rsid w:val="00584157"/>
    <w:rsid w:val="0058486F"/>
    <w:rsid w:val="0058496B"/>
    <w:rsid w:val="00584B82"/>
    <w:rsid w:val="00585200"/>
    <w:rsid w:val="00590BDE"/>
    <w:rsid w:val="0059121C"/>
    <w:rsid w:val="0059145D"/>
    <w:rsid w:val="00591F6C"/>
    <w:rsid w:val="00592BA1"/>
    <w:rsid w:val="00593E30"/>
    <w:rsid w:val="00594460"/>
    <w:rsid w:val="00594890"/>
    <w:rsid w:val="005949DD"/>
    <w:rsid w:val="00594B8E"/>
    <w:rsid w:val="0059547C"/>
    <w:rsid w:val="005976E2"/>
    <w:rsid w:val="00597908"/>
    <w:rsid w:val="005979B6"/>
    <w:rsid w:val="005A03D4"/>
    <w:rsid w:val="005A1AAA"/>
    <w:rsid w:val="005A307D"/>
    <w:rsid w:val="005A33AB"/>
    <w:rsid w:val="005A3473"/>
    <w:rsid w:val="005A3862"/>
    <w:rsid w:val="005A5577"/>
    <w:rsid w:val="005A5A84"/>
    <w:rsid w:val="005A5FC8"/>
    <w:rsid w:val="005A670E"/>
    <w:rsid w:val="005A6DF5"/>
    <w:rsid w:val="005A7848"/>
    <w:rsid w:val="005A7BC0"/>
    <w:rsid w:val="005A7CF1"/>
    <w:rsid w:val="005B0770"/>
    <w:rsid w:val="005B0BE1"/>
    <w:rsid w:val="005B1CA7"/>
    <w:rsid w:val="005B1E4E"/>
    <w:rsid w:val="005B3857"/>
    <w:rsid w:val="005B3A1D"/>
    <w:rsid w:val="005B3F8A"/>
    <w:rsid w:val="005B403D"/>
    <w:rsid w:val="005B42C8"/>
    <w:rsid w:val="005B4343"/>
    <w:rsid w:val="005B5451"/>
    <w:rsid w:val="005B5C4B"/>
    <w:rsid w:val="005B5DA2"/>
    <w:rsid w:val="005B7868"/>
    <w:rsid w:val="005C0294"/>
    <w:rsid w:val="005C0526"/>
    <w:rsid w:val="005C1B24"/>
    <w:rsid w:val="005C2BF3"/>
    <w:rsid w:val="005C388D"/>
    <w:rsid w:val="005C573E"/>
    <w:rsid w:val="005C65BB"/>
    <w:rsid w:val="005C67E3"/>
    <w:rsid w:val="005C687E"/>
    <w:rsid w:val="005C6FA7"/>
    <w:rsid w:val="005C7AE3"/>
    <w:rsid w:val="005D0568"/>
    <w:rsid w:val="005D07BA"/>
    <w:rsid w:val="005D0882"/>
    <w:rsid w:val="005D25E4"/>
    <w:rsid w:val="005D2BFB"/>
    <w:rsid w:val="005D3DB3"/>
    <w:rsid w:val="005D4299"/>
    <w:rsid w:val="005D430C"/>
    <w:rsid w:val="005D4998"/>
    <w:rsid w:val="005D52CA"/>
    <w:rsid w:val="005D5512"/>
    <w:rsid w:val="005D62DA"/>
    <w:rsid w:val="005D6A77"/>
    <w:rsid w:val="005D7839"/>
    <w:rsid w:val="005D7C4E"/>
    <w:rsid w:val="005E0F84"/>
    <w:rsid w:val="005E1C59"/>
    <w:rsid w:val="005E22F9"/>
    <w:rsid w:val="005E38AA"/>
    <w:rsid w:val="005E3A94"/>
    <w:rsid w:val="005E3B44"/>
    <w:rsid w:val="005E4C04"/>
    <w:rsid w:val="005E50AA"/>
    <w:rsid w:val="005E50C6"/>
    <w:rsid w:val="005E5349"/>
    <w:rsid w:val="005E56F5"/>
    <w:rsid w:val="005E693F"/>
    <w:rsid w:val="005E6C25"/>
    <w:rsid w:val="005E79ED"/>
    <w:rsid w:val="005E7AA4"/>
    <w:rsid w:val="005E7CA5"/>
    <w:rsid w:val="005F0FF3"/>
    <w:rsid w:val="005F144D"/>
    <w:rsid w:val="005F1496"/>
    <w:rsid w:val="005F1F28"/>
    <w:rsid w:val="005F341A"/>
    <w:rsid w:val="005F4534"/>
    <w:rsid w:val="005F52C2"/>
    <w:rsid w:val="005F7294"/>
    <w:rsid w:val="005F76E0"/>
    <w:rsid w:val="005F7CD1"/>
    <w:rsid w:val="0060069E"/>
    <w:rsid w:val="00601199"/>
    <w:rsid w:val="0060248C"/>
    <w:rsid w:val="00603260"/>
    <w:rsid w:val="006035DB"/>
    <w:rsid w:val="006039CB"/>
    <w:rsid w:val="00603A63"/>
    <w:rsid w:val="00604ADB"/>
    <w:rsid w:val="00604BAA"/>
    <w:rsid w:val="006053A3"/>
    <w:rsid w:val="00605A8A"/>
    <w:rsid w:val="00605FD4"/>
    <w:rsid w:val="00605FE8"/>
    <w:rsid w:val="00606525"/>
    <w:rsid w:val="006065A7"/>
    <w:rsid w:val="006074BF"/>
    <w:rsid w:val="00607FEA"/>
    <w:rsid w:val="00610F71"/>
    <w:rsid w:val="00611429"/>
    <w:rsid w:val="0061279D"/>
    <w:rsid w:val="00612A19"/>
    <w:rsid w:val="00612BD0"/>
    <w:rsid w:val="0061408A"/>
    <w:rsid w:val="00615476"/>
    <w:rsid w:val="00616CED"/>
    <w:rsid w:val="00616DBE"/>
    <w:rsid w:val="00616E0B"/>
    <w:rsid w:val="00617A12"/>
    <w:rsid w:val="00620194"/>
    <w:rsid w:val="00620638"/>
    <w:rsid w:val="00621C3C"/>
    <w:rsid w:val="00621F33"/>
    <w:rsid w:val="00622F77"/>
    <w:rsid w:val="006234AC"/>
    <w:rsid w:val="00623635"/>
    <w:rsid w:val="00623B28"/>
    <w:rsid w:val="00623FEF"/>
    <w:rsid w:val="00624DC8"/>
    <w:rsid w:val="0062527F"/>
    <w:rsid w:val="00625EC7"/>
    <w:rsid w:val="006268E1"/>
    <w:rsid w:val="00626FDB"/>
    <w:rsid w:val="0062721D"/>
    <w:rsid w:val="006336BA"/>
    <w:rsid w:val="00633FB6"/>
    <w:rsid w:val="00635ADD"/>
    <w:rsid w:val="00635FEB"/>
    <w:rsid w:val="00636EBC"/>
    <w:rsid w:val="0063722E"/>
    <w:rsid w:val="00637376"/>
    <w:rsid w:val="00637544"/>
    <w:rsid w:val="0063775E"/>
    <w:rsid w:val="00637805"/>
    <w:rsid w:val="00637923"/>
    <w:rsid w:val="00637927"/>
    <w:rsid w:val="00640043"/>
    <w:rsid w:val="0064079F"/>
    <w:rsid w:val="00642D52"/>
    <w:rsid w:val="006437EF"/>
    <w:rsid w:val="00643A6D"/>
    <w:rsid w:val="00643FB5"/>
    <w:rsid w:val="0064489C"/>
    <w:rsid w:val="00645CDB"/>
    <w:rsid w:val="00645FF8"/>
    <w:rsid w:val="00646B58"/>
    <w:rsid w:val="00647768"/>
    <w:rsid w:val="00652235"/>
    <w:rsid w:val="0065258E"/>
    <w:rsid w:val="0065270A"/>
    <w:rsid w:val="00653240"/>
    <w:rsid w:val="00653800"/>
    <w:rsid w:val="0065412F"/>
    <w:rsid w:val="006544E9"/>
    <w:rsid w:val="0065507C"/>
    <w:rsid w:val="006550E2"/>
    <w:rsid w:val="00655631"/>
    <w:rsid w:val="006560CC"/>
    <w:rsid w:val="00656464"/>
    <w:rsid w:val="006577BE"/>
    <w:rsid w:val="0066020E"/>
    <w:rsid w:val="00661981"/>
    <w:rsid w:val="00661FAB"/>
    <w:rsid w:val="00663054"/>
    <w:rsid w:val="006637FF"/>
    <w:rsid w:val="0066523D"/>
    <w:rsid w:val="00665815"/>
    <w:rsid w:val="00665DEF"/>
    <w:rsid w:val="00667A11"/>
    <w:rsid w:val="00667A3B"/>
    <w:rsid w:val="00667C44"/>
    <w:rsid w:val="00670BB8"/>
    <w:rsid w:val="00672FB1"/>
    <w:rsid w:val="00673DF5"/>
    <w:rsid w:val="00674B09"/>
    <w:rsid w:val="00674D8C"/>
    <w:rsid w:val="006751DB"/>
    <w:rsid w:val="00675455"/>
    <w:rsid w:val="00677A08"/>
    <w:rsid w:val="00677CCB"/>
    <w:rsid w:val="00677EAB"/>
    <w:rsid w:val="00680005"/>
    <w:rsid w:val="00680B35"/>
    <w:rsid w:val="00680CDA"/>
    <w:rsid w:val="00680F2C"/>
    <w:rsid w:val="00681C7D"/>
    <w:rsid w:val="00681E47"/>
    <w:rsid w:val="00681FDA"/>
    <w:rsid w:val="00682320"/>
    <w:rsid w:val="00682385"/>
    <w:rsid w:val="00683A27"/>
    <w:rsid w:val="00684F7B"/>
    <w:rsid w:val="00685100"/>
    <w:rsid w:val="0068628A"/>
    <w:rsid w:val="0068673C"/>
    <w:rsid w:val="00686F6B"/>
    <w:rsid w:val="00687E44"/>
    <w:rsid w:val="00690447"/>
    <w:rsid w:val="00690AE8"/>
    <w:rsid w:val="00690C74"/>
    <w:rsid w:val="00690FC5"/>
    <w:rsid w:val="006922AB"/>
    <w:rsid w:val="00694561"/>
    <w:rsid w:val="00694BF7"/>
    <w:rsid w:val="00694DE7"/>
    <w:rsid w:val="00695BFD"/>
    <w:rsid w:val="006963F3"/>
    <w:rsid w:val="00696BB7"/>
    <w:rsid w:val="00696BEA"/>
    <w:rsid w:val="006A03AB"/>
    <w:rsid w:val="006A1341"/>
    <w:rsid w:val="006A189F"/>
    <w:rsid w:val="006A1903"/>
    <w:rsid w:val="006A205C"/>
    <w:rsid w:val="006A231E"/>
    <w:rsid w:val="006A28F6"/>
    <w:rsid w:val="006A2BDE"/>
    <w:rsid w:val="006A4111"/>
    <w:rsid w:val="006A4995"/>
    <w:rsid w:val="006A4AA7"/>
    <w:rsid w:val="006A4D78"/>
    <w:rsid w:val="006A569C"/>
    <w:rsid w:val="006A5CE4"/>
    <w:rsid w:val="006A6354"/>
    <w:rsid w:val="006A64A1"/>
    <w:rsid w:val="006A7D60"/>
    <w:rsid w:val="006B103E"/>
    <w:rsid w:val="006B2008"/>
    <w:rsid w:val="006B356F"/>
    <w:rsid w:val="006B536C"/>
    <w:rsid w:val="006B54B0"/>
    <w:rsid w:val="006B5BBD"/>
    <w:rsid w:val="006B5D94"/>
    <w:rsid w:val="006B7258"/>
    <w:rsid w:val="006C02BD"/>
    <w:rsid w:val="006C07CC"/>
    <w:rsid w:val="006C0FBD"/>
    <w:rsid w:val="006C12FD"/>
    <w:rsid w:val="006C16FF"/>
    <w:rsid w:val="006C1F91"/>
    <w:rsid w:val="006C1F9E"/>
    <w:rsid w:val="006C238A"/>
    <w:rsid w:val="006C2DC6"/>
    <w:rsid w:val="006C301C"/>
    <w:rsid w:val="006C3FDF"/>
    <w:rsid w:val="006C4075"/>
    <w:rsid w:val="006C436C"/>
    <w:rsid w:val="006C49C0"/>
    <w:rsid w:val="006C4FFD"/>
    <w:rsid w:val="006C6582"/>
    <w:rsid w:val="006C6FE3"/>
    <w:rsid w:val="006C7DC9"/>
    <w:rsid w:val="006D167C"/>
    <w:rsid w:val="006D2B29"/>
    <w:rsid w:val="006D3F79"/>
    <w:rsid w:val="006D4317"/>
    <w:rsid w:val="006D603F"/>
    <w:rsid w:val="006D62BA"/>
    <w:rsid w:val="006D680D"/>
    <w:rsid w:val="006D6CBE"/>
    <w:rsid w:val="006D71BD"/>
    <w:rsid w:val="006D77AC"/>
    <w:rsid w:val="006E0348"/>
    <w:rsid w:val="006E0BE7"/>
    <w:rsid w:val="006E0D2B"/>
    <w:rsid w:val="006E185D"/>
    <w:rsid w:val="006E196A"/>
    <w:rsid w:val="006E3589"/>
    <w:rsid w:val="006E4798"/>
    <w:rsid w:val="006E4CBF"/>
    <w:rsid w:val="006E5861"/>
    <w:rsid w:val="006E7402"/>
    <w:rsid w:val="006E7A61"/>
    <w:rsid w:val="006F07B2"/>
    <w:rsid w:val="006F227A"/>
    <w:rsid w:val="006F2F86"/>
    <w:rsid w:val="006F47E2"/>
    <w:rsid w:val="006F4CEC"/>
    <w:rsid w:val="006F51AD"/>
    <w:rsid w:val="006F58F3"/>
    <w:rsid w:val="006F62CA"/>
    <w:rsid w:val="006F6F23"/>
    <w:rsid w:val="006F7863"/>
    <w:rsid w:val="007000C5"/>
    <w:rsid w:val="007011D8"/>
    <w:rsid w:val="00701641"/>
    <w:rsid w:val="0070260F"/>
    <w:rsid w:val="00702D2B"/>
    <w:rsid w:val="007031B6"/>
    <w:rsid w:val="00703FA6"/>
    <w:rsid w:val="007040DC"/>
    <w:rsid w:val="00704652"/>
    <w:rsid w:val="00704726"/>
    <w:rsid w:val="00704D09"/>
    <w:rsid w:val="007055D6"/>
    <w:rsid w:val="007056CA"/>
    <w:rsid w:val="007061D2"/>
    <w:rsid w:val="00706904"/>
    <w:rsid w:val="00706D5B"/>
    <w:rsid w:val="00706E9C"/>
    <w:rsid w:val="00706EBC"/>
    <w:rsid w:val="0070743A"/>
    <w:rsid w:val="00710040"/>
    <w:rsid w:val="00711528"/>
    <w:rsid w:val="00711AFE"/>
    <w:rsid w:val="00711B38"/>
    <w:rsid w:val="00711F2D"/>
    <w:rsid w:val="00711FDB"/>
    <w:rsid w:val="00712360"/>
    <w:rsid w:val="00712E22"/>
    <w:rsid w:val="00714390"/>
    <w:rsid w:val="00714BC0"/>
    <w:rsid w:val="007159D8"/>
    <w:rsid w:val="00715F9C"/>
    <w:rsid w:val="0072004F"/>
    <w:rsid w:val="00720ADA"/>
    <w:rsid w:val="007218EE"/>
    <w:rsid w:val="00721F74"/>
    <w:rsid w:val="00722031"/>
    <w:rsid w:val="00722337"/>
    <w:rsid w:val="00722B3F"/>
    <w:rsid w:val="00723124"/>
    <w:rsid w:val="00724143"/>
    <w:rsid w:val="0072444A"/>
    <w:rsid w:val="007249C6"/>
    <w:rsid w:val="00724B14"/>
    <w:rsid w:val="007251DD"/>
    <w:rsid w:val="00725F41"/>
    <w:rsid w:val="007300AA"/>
    <w:rsid w:val="0073091A"/>
    <w:rsid w:val="00731B0E"/>
    <w:rsid w:val="0073290B"/>
    <w:rsid w:val="00732F55"/>
    <w:rsid w:val="00733221"/>
    <w:rsid w:val="007335DE"/>
    <w:rsid w:val="007337B4"/>
    <w:rsid w:val="00733992"/>
    <w:rsid w:val="00734675"/>
    <w:rsid w:val="007352C4"/>
    <w:rsid w:val="00735EFC"/>
    <w:rsid w:val="00735F31"/>
    <w:rsid w:val="00736F82"/>
    <w:rsid w:val="00736FF2"/>
    <w:rsid w:val="0074026C"/>
    <w:rsid w:val="0074062E"/>
    <w:rsid w:val="007414FD"/>
    <w:rsid w:val="00741F55"/>
    <w:rsid w:val="00742103"/>
    <w:rsid w:val="00742E29"/>
    <w:rsid w:val="007433E6"/>
    <w:rsid w:val="00743B04"/>
    <w:rsid w:val="00744147"/>
    <w:rsid w:val="00744535"/>
    <w:rsid w:val="00744671"/>
    <w:rsid w:val="007454E7"/>
    <w:rsid w:val="00745733"/>
    <w:rsid w:val="007462D5"/>
    <w:rsid w:val="00746879"/>
    <w:rsid w:val="007500E3"/>
    <w:rsid w:val="00750867"/>
    <w:rsid w:val="00750EC9"/>
    <w:rsid w:val="00751BF5"/>
    <w:rsid w:val="007542A0"/>
    <w:rsid w:val="007543BE"/>
    <w:rsid w:val="00754F4B"/>
    <w:rsid w:val="00756C62"/>
    <w:rsid w:val="00756DDE"/>
    <w:rsid w:val="007602E8"/>
    <w:rsid w:val="00760557"/>
    <w:rsid w:val="00761B37"/>
    <w:rsid w:val="007625E7"/>
    <w:rsid w:val="007632F0"/>
    <w:rsid w:val="00763607"/>
    <w:rsid w:val="00764385"/>
    <w:rsid w:val="007647A4"/>
    <w:rsid w:val="00764803"/>
    <w:rsid w:val="007649C8"/>
    <w:rsid w:val="00764B58"/>
    <w:rsid w:val="007656D2"/>
    <w:rsid w:val="007657B5"/>
    <w:rsid w:val="00765A81"/>
    <w:rsid w:val="007661A0"/>
    <w:rsid w:val="007676E1"/>
    <w:rsid w:val="00770C94"/>
    <w:rsid w:val="00770EA5"/>
    <w:rsid w:val="007711CA"/>
    <w:rsid w:val="007711CE"/>
    <w:rsid w:val="007735BB"/>
    <w:rsid w:val="00773B0C"/>
    <w:rsid w:val="00774266"/>
    <w:rsid w:val="00775601"/>
    <w:rsid w:val="007757F9"/>
    <w:rsid w:val="00776DB8"/>
    <w:rsid w:val="00780198"/>
    <w:rsid w:val="00780CD7"/>
    <w:rsid w:val="00780D5F"/>
    <w:rsid w:val="00782407"/>
    <w:rsid w:val="007829D6"/>
    <w:rsid w:val="00782C0C"/>
    <w:rsid w:val="00783ADA"/>
    <w:rsid w:val="00783CAF"/>
    <w:rsid w:val="0078418A"/>
    <w:rsid w:val="007841A2"/>
    <w:rsid w:val="007843F2"/>
    <w:rsid w:val="00784963"/>
    <w:rsid w:val="00784DBD"/>
    <w:rsid w:val="00786673"/>
    <w:rsid w:val="00786979"/>
    <w:rsid w:val="00786F9E"/>
    <w:rsid w:val="00787049"/>
    <w:rsid w:val="00787D3A"/>
    <w:rsid w:val="00790119"/>
    <w:rsid w:val="00791183"/>
    <w:rsid w:val="0079203E"/>
    <w:rsid w:val="00794924"/>
    <w:rsid w:val="00797ED7"/>
    <w:rsid w:val="007A23C9"/>
    <w:rsid w:val="007A30F7"/>
    <w:rsid w:val="007A320D"/>
    <w:rsid w:val="007A321C"/>
    <w:rsid w:val="007A3C1F"/>
    <w:rsid w:val="007A3EF2"/>
    <w:rsid w:val="007A47ED"/>
    <w:rsid w:val="007A5ADC"/>
    <w:rsid w:val="007A60B1"/>
    <w:rsid w:val="007A628E"/>
    <w:rsid w:val="007A7143"/>
    <w:rsid w:val="007A7661"/>
    <w:rsid w:val="007A79DD"/>
    <w:rsid w:val="007A7B04"/>
    <w:rsid w:val="007B0496"/>
    <w:rsid w:val="007B1DBF"/>
    <w:rsid w:val="007B33E1"/>
    <w:rsid w:val="007B48F8"/>
    <w:rsid w:val="007B55A1"/>
    <w:rsid w:val="007B5C11"/>
    <w:rsid w:val="007B669C"/>
    <w:rsid w:val="007B6754"/>
    <w:rsid w:val="007C0183"/>
    <w:rsid w:val="007C075C"/>
    <w:rsid w:val="007C2394"/>
    <w:rsid w:val="007C2CEF"/>
    <w:rsid w:val="007C3669"/>
    <w:rsid w:val="007C3692"/>
    <w:rsid w:val="007C3B94"/>
    <w:rsid w:val="007C3CE6"/>
    <w:rsid w:val="007C42F6"/>
    <w:rsid w:val="007C454A"/>
    <w:rsid w:val="007C4614"/>
    <w:rsid w:val="007C54FF"/>
    <w:rsid w:val="007C5E7E"/>
    <w:rsid w:val="007C6A01"/>
    <w:rsid w:val="007C6B49"/>
    <w:rsid w:val="007C6FF1"/>
    <w:rsid w:val="007C7F8B"/>
    <w:rsid w:val="007D0E38"/>
    <w:rsid w:val="007D25C1"/>
    <w:rsid w:val="007D2730"/>
    <w:rsid w:val="007D2B3D"/>
    <w:rsid w:val="007D3A5A"/>
    <w:rsid w:val="007D4589"/>
    <w:rsid w:val="007D4D0C"/>
    <w:rsid w:val="007D5389"/>
    <w:rsid w:val="007D607A"/>
    <w:rsid w:val="007D669E"/>
    <w:rsid w:val="007D6BE8"/>
    <w:rsid w:val="007D741A"/>
    <w:rsid w:val="007D7790"/>
    <w:rsid w:val="007D7C73"/>
    <w:rsid w:val="007D7CFE"/>
    <w:rsid w:val="007E01E4"/>
    <w:rsid w:val="007E34FB"/>
    <w:rsid w:val="007E4964"/>
    <w:rsid w:val="007E5900"/>
    <w:rsid w:val="007E5FA2"/>
    <w:rsid w:val="007E668B"/>
    <w:rsid w:val="007E6A1B"/>
    <w:rsid w:val="007E7E9A"/>
    <w:rsid w:val="007F0B14"/>
    <w:rsid w:val="007F11B4"/>
    <w:rsid w:val="007F1E8C"/>
    <w:rsid w:val="007F38F7"/>
    <w:rsid w:val="007F48E6"/>
    <w:rsid w:val="007F4D35"/>
    <w:rsid w:val="007F4FD7"/>
    <w:rsid w:val="007F591F"/>
    <w:rsid w:val="007F5CA5"/>
    <w:rsid w:val="007F6207"/>
    <w:rsid w:val="007F6407"/>
    <w:rsid w:val="007F65BF"/>
    <w:rsid w:val="007F7157"/>
    <w:rsid w:val="007F73E4"/>
    <w:rsid w:val="0080070C"/>
    <w:rsid w:val="00800C11"/>
    <w:rsid w:val="00800EC2"/>
    <w:rsid w:val="008011CB"/>
    <w:rsid w:val="008016C6"/>
    <w:rsid w:val="0080286E"/>
    <w:rsid w:val="00803545"/>
    <w:rsid w:val="00803CE9"/>
    <w:rsid w:val="00804040"/>
    <w:rsid w:val="0080485E"/>
    <w:rsid w:val="00805FCF"/>
    <w:rsid w:val="008109DB"/>
    <w:rsid w:val="00810EEF"/>
    <w:rsid w:val="00812F66"/>
    <w:rsid w:val="0081433C"/>
    <w:rsid w:val="00814AF4"/>
    <w:rsid w:val="00814FEF"/>
    <w:rsid w:val="008151C1"/>
    <w:rsid w:val="00816E78"/>
    <w:rsid w:val="00820BB0"/>
    <w:rsid w:val="0082200C"/>
    <w:rsid w:val="008223E9"/>
    <w:rsid w:val="008225F4"/>
    <w:rsid w:val="008228AF"/>
    <w:rsid w:val="00822E2B"/>
    <w:rsid w:val="00824CF7"/>
    <w:rsid w:val="0082523B"/>
    <w:rsid w:val="008254C3"/>
    <w:rsid w:val="00825512"/>
    <w:rsid w:val="00825988"/>
    <w:rsid w:val="00827584"/>
    <w:rsid w:val="008276EB"/>
    <w:rsid w:val="00830C49"/>
    <w:rsid w:val="00831102"/>
    <w:rsid w:val="00832354"/>
    <w:rsid w:val="00832CEA"/>
    <w:rsid w:val="00832D18"/>
    <w:rsid w:val="00833471"/>
    <w:rsid w:val="00833FD8"/>
    <w:rsid w:val="00834846"/>
    <w:rsid w:val="008351F3"/>
    <w:rsid w:val="00835548"/>
    <w:rsid w:val="00836710"/>
    <w:rsid w:val="0083763D"/>
    <w:rsid w:val="008379F9"/>
    <w:rsid w:val="0084066F"/>
    <w:rsid w:val="008415CE"/>
    <w:rsid w:val="008419E5"/>
    <w:rsid w:val="00841FC0"/>
    <w:rsid w:val="0084336B"/>
    <w:rsid w:val="0084481F"/>
    <w:rsid w:val="00844DDB"/>
    <w:rsid w:val="00844E60"/>
    <w:rsid w:val="00844EE9"/>
    <w:rsid w:val="0084592F"/>
    <w:rsid w:val="00845FBA"/>
    <w:rsid w:val="0085066B"/>
    <w:rsid w:val="00851AD6"/>
    <w:rsid w:val="00851C6F"/>
    <w:rsid w:val="00851DE7"/>
    <w:rsid w:val="0085220D"/>
    <w:rsid w:val="008528C0"/>
    <w:rsid w:val="00852B3A"/>
    <w:rsid w:val="00852E38"/>
    <w:rsid w:val="00853438"/>
    <w:rsid w:val="00853E3D"/>
    <w:rsid w:val="00854864"/>
    <w:rsid w:val="00854A73"/>
    <w:rsid w:val="00854C69"/>
    <w:rsid w:val="00855831"/>
    <w:rsid w:val="0085589D"/>
    <w:rsid w:val="00855DC1"/>
    <w:rsid w:val="00855FE7"/>
    <w:rsid w:val="00856039"/>
    <w:rsid w:val="0085622D"/>
    <w:rsid w:val="008566AD"/>
    <w:rsid w:val="008574E2"/>
    <w:rsid w:val="00857FA8"/>
    <w:rsid w:val="00861747"/>
    <w:rsid w:val="0086416B"/>
    <w:rsid w:val="0086450B"/>
    <w:rsid w:val="008646AA"/>
    <w:rsid w:val="00865114"/>
    <w:rsid w:val="00865120"/>
    <w:rsid w:val="008656B9"/>
    <w:rsid w:val="00870641"/>
    <w:rsid w:val="008712A5"/>
    <w:rsid w:val="008719BE"/>
    <w:rsid w:val="00872462"/>
    <w:rsid w:val="0087262D"/>
    <w:rsid w:val="00873656"/>
    <w:rsid w:val="008749CD"/>
    <w:rsid w:val="00876636"/>
    <w:rsid w:val="00877169"/>
    <w:rsid w:val="00877D0B"/>
    <w:rsid w:val="00877FD8"/>
    <w:rsid w:val="0088076A"/>
    <w:rsid w:val="0088176D"/>
    <w:rsid w:val="0088368B"/>
    <w:rsid w:val="008852D3"/>
    <w:rsid w:val="0088599D"/>
    <w:rsid w:val="0088659F"/>
    <w:rsid w:val="00891AC2"/>
    <w:rsid w:val="00891B7E"/>
    <w:rsid w:val="00892BA6"/>
    <w:rsid w:val="008940EA"/>
    <w:rsid w:val="00894275"/>
    <w:rsid w:val="008944D2"/>
    <w:rsid w:val="008953D1"/>
    <w:rsid w:val="00896EB5"/>
    <w:rsid w:val="008971DD"/>
    <w:rsid w:val="008974BC"/>
    <w:rsid w:val="00897849"/>
    <w:rsid w:val="00897D23"/>
    <w:rsid w:val="00897E35"/>
    <w:rsid w:val="00897E5D"/>
    <w:rsid w:val="008A0037"/>
    <w:rsid w:val="008A4044"/>
    <w:rsid w:val="008A4119"/>
    <w:rsid w:val="008A57AF"/>
    <w:rsid w:val="008A590C"/>
    <w:rsid w:val="008A5AA1"/>
    <w:rsid w:val="008A5B57"/>
    <w:rsid w:val="008A5B5F"/>
    <w:rsid w:val="008A5FB3"/>
    <w:rsid w:val="008A6305"/>
    <w:rsid w:val="008A7D62"/>
    <w:rsid w:val="008B093C"/>
    <w:rsid w:val="008B170D"/>
    <w:rsid w:val="008B198E"/>
    <w:rsid w:val="008B1B75"/>
    <w:rsid w:val="008B2F5F"/>
    <w:rsid w:val="008B36EB"/>
    <w:rsid w:val="008B428A"/>
    <w:rsid w:val="008B4713"/>
    <w:rsid w:val="008B478C"/>
    <w:rsid w:val="008B48C7"/>
    <w:rsid w:val="008B52C6"/>
    <w:rsid w:val="008B5DDB"/>
    <w:rsid w:val="008B68E3"/>
    <w:rsid w:val="008B6E71"/>
    <w:rsid w:val="008B741F"/>
    <w:rsid w:val="008B7CA6"/>
    <w:rsid w:val="008C0686"/>
    <w:rsid w:val="008C0AA9"/>
    <w:rsid w:val="008C3BB1"/>
    <w:rsid w:val="008C444A"/>
    <w:rsid w:val="008C499D"/>
    <w:rsid w:val="008C5EF6"/>
    <w:rsid w:val="008C7717"/>
    <w:rsid w:val="008D0365"/>
    <w:rsid w:val="008D4137"/>
    <w:rsid w:val="008D414C"/>
    <w:rsid w:val="008D44DE"/>
    <w:rsid w:val="008D57FD"/>
    <w:rsid w:val="008D667B"/>
    <w:rsid w:val="008D7E81"/>
    <w:rsid w:val="008E0C1B"/>
    <w:rsid w:val="008E1A28"/>
    <w:rsid w:val="008E3BBC"/>
    <w:rsid w:val="008E3C08"/>
    <w:rsid w:val="008E4546"/>
    <w:rsid w:val="008E50D5"/>
    <w:rsid w:val="008E5206"/>
    <w:rsid w:val="008E61CE"/>
    <w:rsid w:val="008E69D3"/>
    <w:rsid w:val="008E6CB6"/>
    <w:rsid w:val="008E72F4"/>
    <w:rsid w:val="008E739D"/>
    <w:rsid w:val="008E74FA"/>
    <w:rsid w:val="008E7E5E"/>
    <w:rsid w:val="008F0AA6"/>
    <w:rsid w:val="008F1D20"/>
    <w:rsid w:val="008F27B9"/>
    <w:rsid w:val="008F385F"/>
    <w:rsid w:val="008F3F6C"/>
    <w:rsid w:val="008F5278"/>
    <w:rsid w:val="008F5312"/>
    <w:rsid w:val="008F60A6"/>
    <w:rsid w:val="008F6465"/>
    <w:rsid w:val="008F7A55"/>
    <w:rsid w:val="00901189"/>
    <w:rsid w:val="0090142B"/>
    <w:rsid w:val="00901709"/>
    <w:rsid w:val="00901F2E"/>
    <w:rsid w:val="00902878"/>
    <w:rsid w:val="00902AF7"/>
    <w:rsid w:val="00902EB5"/>
    <w:rsid w:val="00903131"/>
    <w:rsid w:val="009031F6"/>
    <w:rsid w:val="00903FD1"/>
    <w:rsid w:val="0090589D"/>
    <w:rsid w:val="009068BD"/>
    <w:rsid w:val="0090698E"/>
    <w:rsid w:val="00907875"/>
    <w:rsid w:val="009105AE"/>
    <w:rsid w:val="00910C46"/>
    <w:rsid w:val="00911502"/>
    <w:rsid w:val="00911985"/>
    <w:rsid w:val="00914771"/>
    <w:rsid w:val="009148AA"/>
    <w:rsid w:val="00914DE0"/>
    <w:rsid w:val="00914E93"/>
    <w:rsid w:val="00915509"/>
    <w:rsid w:val="0091553A"/>
    <w:rsid w:val="00915B95"/>
    <w:rsid w:val="00915F7E"/>
    <w:rsid w:val="009174FB"/>
    <w:rsid w:val="00920869"/>
    <w:rsid w:val="009222A5"/>
    <w:rsid w:val="0092234B"/>
    <w:rsid w:val="009225FF"/>
    <w:rsid w:val="00922D92"/>
    <w:rsid w:val="00923A79"/>
    <w:rsid w:val="009254A7"/>
    <w:rsid w:val="00925F82"/>
    <w:rsid w:val="00926242"/>
    <w:rsid w:val="00926433"/>
    <w:rsid w:val="0092715B"/>
    <w:rsid w:val="009273E9"/>
    <w:rsid w:val="0092779F"/>
    <w:rsid w:val="0092780D"/>
    <w:rsid w:val="009279E0"/>
    <w:rsid w:val="00927D59"/>
    <w:rsid w:val="009302E0"/>
    <w:rsid w:val="00931066"/>
    <w:rsid w:val="00931C8F"/>
    <w:rsid w:val="00932519"/>
    <w:rsid w:val="009363BC"/>
    <w:rsid w:val="009420D1"/>
    <w:rsid w:val="00943143"/>
    <w:rsid w:val="00943684"/>
    <w:rsid w:val="00943D1A"/>
    <w:rsid w:val="00943D70"/>
    <w:rsid w:val="009452DD"/>
    <w:rsid w:val="00945302"/>
    <w:rsid w:val="00945474"/>
    <w:rsid w:val="009454C3"/>
    <w:rsid w:val="00945ECD"/>
    <w:rsid w:val="00946C04"/>
    <w:rsid w:val="00947A00"/>
    <w:rsid w:val="0095029F"/>
    <w:rsid w:val="009508C1"/>
    <w:rsid w:val="009509C6"/>
    <w:rsid w:val="0095109F"/>
    <w:rsid w:val="009512BF"/>
    <w:rsid w:val="0095138E"/>
    <w:rsid w:val="00952120"/>
    <w:rsid w:val="00954249"/>
    <w:rsid w:val="00954F03"/>
    <w:rsid w:val="0095594D"/>
    <w:rsid w:val="00955F3C"/>
    <w:rsid w:val="00956E9B"/>
    <w:rsid w:val="009579D8"/>
    <w:rsid w:val="00957B79"/>
    <w:rsid w:val="00961463"/>
    <w:rsid w:val="00961584"/>
    <w:rsid w:val="00961643"/>
    <w:rsid w:val="00962D55"/>
    <w:rsid w:val="00962E5C"/>
    <w:rsid w:val="0096334B"/>
    <w:rsid w:val="00963927"/>
    <w:rsid w:val="00963A98"/>
    <w:rsid w:val="00963BB1"/>
    <w:rsid w:val="00964A18"/>
    <w:rsid w:val="00964AE1"/>
    <w:rsid w:val="00964ECD"/>
    <w:rsid w:val="00964F63"/>
    <w:rsid w:val="0096512B"/>
    <w:rsid w:val="009657D4"/>
    <w:rsid w:val="00966593"/>
    <w:rsid w:val="009704B0"/>
    <w:rsid w:val="009706FF"/>
    <w:rsid w:val="00970C86"/>
    <w:rsid w:val="00971DBD"/>
    <w:rsid w:val="0097321F"/>
    <w:rsid w:val="00973B9C"/>
    <w:rsid w:val="009744F4"/>
    <w:rsid w:val="009747D4"/>
    <w:rsid w:val="00975C73"/>
    <w:rsid w:val="009762D9"/>
    <w:rsid w:val="00976618"/>
    <w:rsid w:val="00980668"/>
    <w:rsid w:val="00980856"/>
    <w:rsid w:val="009819EF"/>
    <w:rsid w:val="00981FFD"/>
    <w:rsid w:val="00982E2C"/>
    <w:rsid w:val="00984D8B"/>
    <w:rsid w:val="00985088"/>
    <w:rsid w:val="0098538E"/>
    <w:rsid w:val="00985953"/>
    <w:rsid w:val="00985E8C"/>
    <w:rsid w:val="009863CC"/>
    <w:rsid w:val="00987408"/>
    <w:rsid w:val="00987F7F"/>
    <w:rsid w:val="009910D0"/>
    <w:rsid w:val="009917C3"/>
    <w:rsid w:val="00991C15"/>
    <w:rsid w:val="00992A6D"/>
    <w:rsid w:val="009930BA"/>
    <w:rsid w:val="00993332"/>
    <w:rsid w:val="00994F8C"/>
    <w:rsid w:val="009956B5"/>
    <w:rsid w:val="00995C14"/>
    <w:rsid w:val="00995D32"/>
    <w:rsid w:val="0099681A"/>
    <w:rsid w:val="00996D50"/>
    <w:rsid w:val="00996ECE"/>
    <w:rsid w:val="00996F68"/>
    <w:rsid w:val="0099761F"/>
    <w:rsid w:val="00997C9B"/>
    <w:rsid w:val="009A0087"/>
    <w:rsid w:val="009A031D"/>
    <w:rsid w:val="009A1A8A"/>
    <w:rsid w:val="009A2243"/>
    <w:rsid w:val="009A2941"/>
    <w:rsid w:val="009A2A4B"/>
    <w:rsid w:val="009A3D6E"/>
    <w:rsid w:val="009A4C08"/>
    <w:rsid w:val="009A500D"/>
    <w:rsid w:val="009A52F5"/>
    <w:rsid w:val="009A6FF6"/>
    <w:rsid w:val="009A7018"/>
    <w:rsid w:val="009B08B6"/>
    <w:rsid w:val="009B1E5A"/>
    <w:rsid w:val="009B3EE1"/>
    <w:rsid w:val="009B43DF"/>
    <w:rsid w:val="009B4A5F"/>
    <w:rsid w:val="009B60C2"/>
    <w:rsid w:val="009B698D"/>
    <w:rsid w:val="009B7895"/>
    <w:rsid w:val="009B7B39"/>
    <w:rsid w:val="009B7DF4"/>
    <w:rsid w:val="009B7EB6"/>
    <w:rsid w:val="009C0532"/>
    <w:rsid w:val="009C071D"/>
    <w:rsid w:val="009C14C8"/>
    <w:rsid w:val="009C23B4"/>
    <w:rsid w:val="009C2703"/>
    <w:rsid w:val="009C2CBC"/>
    <w:rsid w:val="009C38F2"/>
    <w:rsid w:val="009C3A19"/>
    <w:rsid w:val="009C3E96"/>
    <w:rsid w:val="009C506B"/>
    <w:rsid w:val="009C5688"/>
    <w:rsid w:val="009C65BE"/>
    <w:rsid w:val="009C7574"/>
    <w:rsid w:val="009D019A"/>
    <w:rsid w:val="009D01E9"/>
    <w:rsid w:val="009D074B"/>
    <w:rsid w:val="009D087F"/>
    <w:rsid w:val="009D151F"/>
    <w:rsid w:val="009D1DCB"/>
    <w:rsid w:val="009D1FA1"/>
    <w:rsid w:val="009D21D7"/>
    <w:rsid w:val="009D302A"/>
    <w:rsid w:val="009D3508"/>
    <w:rsid w:val="009D4D0D"/>
    <w:rsid w:val="009D522C"/>
    <w:rsid w:val="009D57F4"/>
    <w:rsid w:val="009D5A41"/>
    <w:rsid w:val="009D5F07"/>
    <w:rsid w:val="009D6213"/>
    <w:rsid w:val="009D6F29"/>
    <w:rsid w:val="009D7235"/>
    <w:rsid w:val="009D75B7"/>
    <w:rsid w:val="009D7D90"/>
    <w:rsid w:val="009D7FE2"/>
    <w:rsid w:val="009E0281"/>
    <w:rsid w:val="009E05C7"/>
    <w:rsid w:val="009E1045"/>
    <w:rsid w:val="009E1518"/>
    <w:rsid w:val="009E1DCD"/>
    <w:rsid w:val="009E310D"/>
    <w:rsid w:val="009E408E"/>
    <w:rsid w:val="009E5C7D"/>
    <w:rsid w:val="009F00C1"/>
    <w:rsid w:val="009F093B"/>
    <w:rsid w:val="009F22DD"/>
    <w:rsid w:val="009F26C1"/>
    <w:rsid w:val="009F2AEB"/>
    <w:rsid w:val="009F41AD"/>
    <w:rsid w:val="009F4B7C"/>
    <w:rsid w:val="009F5808"/>
    <w:rsid w:val="009F6037"/>
    <w:rsid w:val="009F6895"/>
    <w:rsid w:val="009F6A7B"/>
    <w:rsid w:val="009F731D"/>
    <w:rsid w:val="009F75BA"/>
    <w:rsid w:val="009F77F1"/>
    <w:rsid w:val="009F7CEE"/>
    <w:rsid w:val="009F7E4A"/>
    <w:rsid w:val="00A01F98"/>
    <w:rsid w:val="00A02D33"/>
    <w:rsid w:val="00A0396A"/>
    <w:rsid w:val="00A04358"/>
    <w:rsid w:val="00A043CD"/>
    <w:rsid w:val="00A04F64"/>
    <w:rsid w:val="00A050E6"/>
    <w:rsid w:val="00A06202"/>
    <w:rsid w:val="00A07FC1"/>
    <w:rsid w:val="00A10876"/>
    <w:rsid w:val="00A10990"/>
    <w:rsid w:val="00A10C25"/>
    <w:rsid w:val="00A10CD3"/>
    <w:rsid w:val="00A11C98"/>
    <w:rsid w:val="00A11EEF"/>
    <w:rsid w:val="00A132B6"/>
    <w:rsid w:val="00A13585"/>
    <w:rsid w:val="00A15018"/>
    <w:rsid w:val="00A15183"/>
    <w:rsid w:val="00A156E3"/>
    <w:rsid w:val="00A16707"/>
    <w:rsid w:val="00A177B2"/>
    <w:rsid w:val="00A212AE"/>
    <w:rsid w:val="00A21786"/>
    <w:rsid w:val="00A21CD9"/>
    <w:rsid w:val="00A221F8"/>
    <w:rsid w:val="00A225F3"/>
    <w:rsid w:val="00A2276B"/>
    <w:rsid w:val="00A23588"/>
    <w:rsid w:val="00A23984"/>
    <w:rsid w:val="00A24018"/>
    <w:rsid w:val="00A24C92"/>
    <w:rsid w:val="00A25920"/>
    <w:rsid w:val="00A25EA1"/>
    <w:rsid w:val="00A26028"/>
    <w:rsid w:val="00A268F5"/>
    <w:rsid w:val="00A26F48"/>
    <w:rsid w:val="00A279B1"/>
    <w:rsid w:val="00A327C5"/>
    <w:rsid w:val="00A34B86"/>
    <w:rsid w:val="00A35BC1"/>
    <w:rsid w:val="00A362CF"/>
    <w:rsid w:val="00A363E3"/>
    <w:rsid w:val="00A3730D"/>
    <w:rsid w:val="00A37F3B"/>
    <w:rsid w:val="00A40C8A"/>
    <w:rsid w:val="00A40D35"/>
    <w:rsid w:val="00A41595"/>
    <w:rsid w:val="00A41BCD"/>
    <w:rsid w:val="00A4234C"/>
    <w:rsid w:val="00A425DA"/>
    <w:rsid w:val="00A42FD5"/>
    <w:rsid w:val="00A43360"/>
    <w:rsid w:val="00A438B0"/>
    <w:rsid w:val="00A43FC2"/>
    <w:rsid w:val="00A44038"/>
    <w:rsid w:val="00A44C57"/>
    <w:rsid w:val="00A45390"/>
    <w:rsid w:val="00A456C8"/>
    <w:rsid w:val="00A45849"/>
    <w:rsid w:val="00A46F71"/>
    <w:rsid w:val="00A470AA"/>
    <w:rsid w:val="00A47351"/>
    <w:rsid w:val="00A50BD3"/>
    <w:rsid w:val="00A50C35"/>
    <w:rsid w:val="00A50FE2"/>
    <w:rsid w:val="00A522A1"/>
    <w:rsid w:val="00A52590"/>
    <w:rsid w:val="00A53CA2"/>
    <w:rsid w:val="00A54AD0"/>
    <w:rsid w:val="00A54F60"/>
    <w:rsid w:val="00A5560C"/>
    <w:rsid w:val="00A56F55"/>
    <w:rsid w:val="00A605D7"/>
    <w:rsid w:val="00A615E1"/>
    <w:rsid w:val="00A61609"/>
    <w:rsid w:val="00A61CCF"/>
    <w:rsid w:val="00A61E8A"/>
    <w:rsid w:val="00A62AB2"/>
    <w:rsid w:val="00A6319B"/>
    <w:rsid w:val="00A63C94"/>
    <w:rsid w:val="00A64A8F"/>
    <w:rsid w:val="00A64FED"/>
    <w:rsid w:val="00A65CC5"/>
    <w:rsid w:val="00A667D4"/>
    <w:rsid w:val="00A66A7A"/>
    <w:rsid w:val="00A66F91"/>
    <w:rsid w:val="00A67278"/>
    <w:rsid w:val="00A67D69"/>
    <w:rsid w:val="00A7082D"/>
    <w:rsid w:val="00A720F4"/>
    <w:rsid w:val="00A72CB8"/>
    <w:rsid w:val="00A7400D"/>
    <w:rsid w:val="00A7604D"/>
    <w:rsid w:val="00A7618A"/>
    <w:rsid w:val="00A766DE"/>
    <w:rsid w:val="00A80B5F"/>
    <w:rsid w:val="00A81FC2"/>
    <w:rsid w:val="00A81FC6"/>
    <w:rsid w:val="00A82BC2"/>
    <w:rsid w:val="00A82EF3"/>
    <w:rsid w:val="00A83AAE"/>
    <w:rsid w:val="00A83C75"/>
    <w:rsid w:val="00A84DEC"/>
    <w:rsid w:val="00A85855"/>
    <w:rsid w:val="00A8639E"/>
    <w:rsid w:val="00A875AB"/>
    <w:rsid w:val="00A9065B"/>
    <w:rsid w:val="00A9172A"/>
    <w:rsid w:val="00A9208C"/>
    <w:rsid w:val="00A928F2"/>
    <w:rsid w:val="00A93C96"/>
    <w:rsid w:val="00A93DCC"/>
    <w:rsid w:val="00A93EE2"/>
    <w:rsid w:val="00A9659B"/>
    <w:rsid w:val="00A96A2D"/>
    <w:rsid w:val="00AA0061"/>
    <w:rsid w:val="00AA0838"/>
    <w:rsid w:val="00AA085E"/>
    <w:rsid w:val="00AA1101"/>
    <w:rsid w:val="00AA1B93"/>
    <w:rsid w:val="00AA1ED6"/>
    <w:rsid w:val="00AA2258"/>
    <w:rsid w:val="00AA2F5C"/>
    <w:rsid w:val="00AA3E7D"/>
    <w:rsid w:val="00AA483B"/>
    <w:rsid w:val="00AA4EFA"/>
    <w:rsid w:val="00AA5BFE"/>
    <w:rsid w:val="00AA64F0"/>
    <w:rsid w:val="00AA6584"/>
    <w:rsid w:val="00AA689D"/>
    <w:rsid w:val="00AA6CAE"/>
    <w:rsid w:val="00AA763F"/>
    <w:rsid w:val="00AB0A7B"/>
    <w:rsid w:val="00AB263F"/>
    <w:rsid w:val="00AB2811"/>
    <w:rsid w:val="00AB35AC"/>
    <w:rsid w:val="00AB3F36"/>
    <w:rsid w:val="00AB5FD1"/>
    <w:rsid w:val="00AB6FF4"/>
    <w:rsid w:val="00AB7519"/>
    <w:rsid w:val="00AC1B3C"/>
    <w:rsid w:val="00AC3644"/>
    <w:rsid w:val="00AC386C"/>
    <w:rsid w:val="00AC56A0"/>
    <w:rsid w:val="00AC57C3"/>
    <w:rsid w:val="00AC5BFA"/>
    <w:rsid w:val="00AC6177"/>
    <w:rsid w:val="00AC64CE"/>
    <w:rsid w:val="00AC725B"/>
    <w:rsid w:val="00AD0357"/>
    <w:rsid w:val="00AD1741"/>
    <w:rsid w:val="00AD31F0"/>
    <w:rsid w:val="00AD3AB3"/>
    <w:rsid w:val="00AD442A"/>
    <w:rsid w:val="00AD4A00"/>
    <w:rsid w:val="00AD6B9E"/>
    <w:rsid w:val="00AD6C24"/>
    <w:rsid w:val="00AD6E9E"/>
    <w:rsid w:val="00AD759D"/>
    <w:rsid w:val="00AE0517"/>
    <w:rsid w:val="00AE1490"/>
    <w:rsid w:val="00AE21CB"/>
    <w:rsid w:val="00AE44B2"/>
    <w:rsid w:val="00AE4C87"/>
    <w:rsid w:val="00AE4C90"/>
    <w:rsid w:val="00AE523B"/>
    <w:rsid w:val="00AE6D0E"/>
    <w:rsid w:val="00AF0BCC"/>
    <w:rsid w:val="00AF10D0"/>
    <w:rsid w:val="00AF210C"/>
    <w:rsid w:val="00AF2208"/>
    <w:rsid w:val="00AF33DB"/>
    <w:rsid w:val="00AF3B21"/>
    <w:rsid w:val="00AF457D"/>
    <w:rsid w:val="00AF4816"/>
    <w:rsid w:val="00AF5EF2"/>
    <w:rsid w:val="00AF5F04"/>
    <w:rsid w:val="00AF6C17"/>
    <w:rsid w:val="00AF7142"/>
    <w:rsid w:val="00AF7224"/>
    <w:rsid w:val="00B00445"/>
    <w:rsid w:val="00B00447"/>
    <w:rsid w:val="00B00B1D"/>
    <w:rsid w:val="00B01225"/>
    <w:rsid w:val="00B01F34"/>
    <w:rsid w:val="00B01F96"/>
    <w:rsid w:val="00B022DB"/>
    <w:rsid w:val="00B037EB"/>
    <w:rsid w:val="00B03C54"/>
    <w:rsid w:val="00B04041"/>
    <w:rsid w:val="00B04FD5"/>
    <w:rsid w:val="00B050F9"/>
    <w:rsid w:val="00B05397"/>
    <w:rsid w:val="00B07331"/>
    <w:rsid w:val="00B07E58"/>
    <w:rsid w:val="00B10426"/>
    <w:rsid w:val="00B10829"/>
    <w:rsid w:val="00B10DD1"/>
    <w:rsid w:val="00B11424"/>
    <w:rsid w:val="00B119CA"/>
    <w:rsid w:val="00B11B1D"/>
    <w:rsid w:val="00B11BF7"/>
    <w:rsid w:val="00B11D14"/>
    <w:rsid w:val="00B11E89"/>
    <w:rsid w:val="00B137B3"/>
    <w:rsid w:val="00B1405B"/>
    <w:rsid w:val="00B14680"/>
    <w:rsid w:val="00B1477B"/>
    <w:rsid w:val="00B15394"/>
    <w:rsid w:val="00B15F90"/>
    <w:rsid w:val="00B1762F"/>
    <w:rsid w:val="00B2103B"/>
    <w:rsid w:val="00B21A9F"/>
    <w:rsid w:val="00B21ADF"/>
    <w:rsid w:val="00B21B12"/>
    <w:rsid w:val="00B220D6"/>
    <w:rsid w:val="00B22105"/>
    <w:rsid w:val="00B222C1"/>
    <w:rsid w:val="00B23CF1"/>
    <w:rsid w:val="00B23F84"/>
    <w:rsid w:val="00B25C62"/>
    <w:rsid w:val="00B2711F"/>
    <w:rsid w:val="00B271AC"/>
    <w:rsid w:val="00B272AD"/>
    <w:rsid w:val="00B27FFA"/>
    <w:rsid w:val="00B30792"/>
    <w:rsid w:val="00B307A1"/>
    <w:rsid w:val="00B309CA"/>
    <w:rsid w:val="00B3239B"/>
    <w:rsid w:val="00B3297F"/>
    <w:rsid w:val="00B33BA1"/>
    <w:rsid w:val="00B35026"/>
    <w:rsid w:val="00B3750A"/>
    <w:rsid w:val="00B37AE6"/>
    <w:rsid w:val="00B401AA"/>
    <w:rsid w:val="00B40978"/>
    <w:rsid w:val="00B40CC2"/>
    <w:rsid w:val="00B413B0"/>
    <w:rsid w:val="00B4155D"/>
    <w:rsid w:val="00B434AF"/>
    <w:rsid w:val="00B435C3"/>
    <w:rsid w:val="00B44405"/>
    <w:rsid w:val="00B450EF"/>
    <w:rsid w:val="00B45459"/>
    <w:rsid w:val="00B45C25"/>
    <w:rsid w:val="00B46891"/>
    <w:rsid w:val="00B47388"/>
    <w:rsid w:val="00B4745F"/>
    <w:rsid w:val="00B509F5"/>
    <w:rsid w:val="00B51F64"/>
    <w:rsid w:val="00B5317D"/>
    <w:rsid w:val="00B53287"/>
    <w:rsid w:val="00B54F3D"/>
    <w:rsid w:val="00B55026"/>
    <w:rsid w:val="00B5521F"/>
    <w:rsid w:val="00B555F5"/>
    <w:rsid w:val="00B55E04"/>
    <w:rsid w:val="00B568F6"/>
    <w:rsid w:val="00B56C38"/>
    <w:rsid w:val="00B56C66"/>
    <w:rsid w:val="00B57849"/>
    <w:rsid w:val="00B578C8"/>
    <w:rsid w:val="00B6186C"/>
    <w:rsid w:val="00B62AD2"/>
    <w:rsid w:val="00B631BD"/>
    <w:rsid w:val="00B63337"/>
    <w:rsid w:val="00B64796"/>
    <w:rsid w:val="00B6502B"/>
    <w:rsid w:val="00B65D37"/>
    <w:rsid w:val="00B6640B"/>
    <w:rsid w:val="00B66EF5"/>
    <w:rsid w:val="00B66FD6"/>
    <w:rsid w:val="00B6708A"/>
    <w:rsid w:val="00B67F35"/>
    <w:rsid w:val="00B70662"/>
    <w:rsid w:val="00B70B3C"/>
    <w:rsid w:val="00B70ED8"/>
    <w:rsid w:val="00B71B15"/>
    <w:rsid w:val="00B724D2"/>
    <w:rsid w:val="00B7267B"/>
    <w:rsid w:val="00B73595"/>
    <w:rsid w:val="00B74146"/>
    <w:rsid w:val="00B74177"/>
    <w:rsid w:val="00B74275"/>
    <w:rsid w:val="00B748B6"/>
    <w:rsid w:val="00B75E8A"/>
    <w:rsid w:val="00B76E15"/>
    <w:rsid w:val="00B77468"/>
    <w:rsid w:val="00B802C6"/>
    <w:rsid w:val="00B80EBC"/>
    <w:rsid w:val="00B811D4"/>
    <w:rsid w:val="00B81A24"/>
    <w:rsid w:val="00B81C78"/>
    <w:rsid w:val="00B849D8"/>
    <w:rsid w:val="00B84A33"/>
    <w:rsid w:val="00B855B7"/>
    <w:rsid w:val="00B8657C"/>
    <w:rsid w:val="00B865C7"/>
    <w:rsid w:val="00B86656"/>
    <w:rsid w:val="00B8696D"/>
    <w:rsid w:val="00B875FF"/>
    <w:rsid w:val="00B87EE8"/>
    <w:rsid w:val="00B902E4"/>
    <w:rsid w:val="00B9086B"/>
    <w:rsid w:val="00B91003"/>
    <w:rsid w:val="00B91EB7"/>
    <w:rsid w:val="00B924BC"/>
    <w:rsid w:val="00B949E1"/>
    <w:rsid w:val="00B95019"/>
    <w:rsid w:val="00B954CF"/>
    <w:rsid w:val="00B957B7"/>
    <w:rsid w:val="00B96D9A"/>
    <w:rsid w:val="00B970AF"/>
    <w:rsid w:val="00B975CF"/>
    <w:rsid w:val="00BA142C"/>
    <w:rsid w:val="00BA349F"/>
    <w:rsid w:val="00BA4710"/>
    <w:rsid w:val="00BA59F0"/>
    <w:rsid w:val="00BA7108"/>
    <w:rsid w:val="00BA7515"/>
    <w:rsid w:val="00BA799E"/>
    <w:rsid w:val="00BB03F8"/>
    <w:rsid w:val="00BB22DC"/>
    <w:rsid w:val="00BB234B"/>
    <w:rsid w:val="00BB278B"/>
    <w:rsid w:val="00BB2A6D"/>
    <w:rsid w:val="00BB2D89"/>
    <w:rsid w:val="00BB2FA9"/>
    <w:rsid w:val="00BB3400"/>
    <w:rsid w:val="00BB432A"/>
    <w:rsid w:val="00BB437B"/>
    <w:rsid w:val="00BB43E4"/>
    <w:rsid w:val="00BB45D6"/>
    <w:rsid w:val="00BB4C78"/>
    <w:rsid w:val="00BB5BC4"/>
    <w:rsid w:val="00BB6EA3"/>
    <w:rsid w:val="00BB7425"/>
    <w:rsid w:val="00BB74ED"/>
    <w:rsid w:val="00BB7BA8"/>
    <w:rsid w:val="00BC000B"/>
    <w:rsid w:val="00BC0F87"/>
    <w:rsid w:val="00BC2A75"/>
    <w:rsid w:val="00BC2AE4"/>
    <w:rsid w:val="00BC36E1"/>
    <w:rsid w:val="00BC3BEE"/>
    <w:rsid w:val="00BC3E43"/>
    <w:rsid w:val="00BC5288"/>
    <w:rsid w:val="00BC5573"/>
    <w:rsid w:val="00BC58EE"/>
    <w:rsid w:val="00BC5B4C"/>
    <w:rsid w:val="00BC64E6"/>
    <w:rsid w:val="00BC7892"/>
    <w:rsid w:val="00BD080A"/>
    <w:rsid w:val="00BD1BE1"/>
    <w:rsid w:val="00BD1C97"/>
    <w:rsid w:val="00BD1EA0"/>
    <w:rsid w:val="00BD3F09"/>
    <w:rsid w:val="00BD426D"/>
    <w:rsid w:val="00BD59EC"/>
    <w:rsid w:val="00BD67E8"/>
    <w:rsid w:val="00BD6E4C"/>
    <w:rsid w:val="00BE08A6"/>
    <w:rsid w:val="00BE0937"/>
    <w:rsid w:val="00BE2579"/>
    <w:rsid w:val="00BE2A03"/>
    <w:rsid w:val="00BE2BD4"/>
    <w:rsid w:val="00BE3332"/>
    <w:rsid w:val="00BE33FE"/>
    <w:rsid w:val="00BE357E"/>
    <w:rsid w:val="00BE6654"/>
    <w:rsid w:val="00BE6D43"/>
    <w:rsid w:val="00BE768B"/>
    <w:rsid w:val="00BF0A20"/>
    <w:rsid w:val="00BF0AA1"/>
    <w:rsid w:val="00BF173C"/>
    <w:rsid w:val="00BF5245"/>
    <w:rsid w:val="00BF65E4"/>
    <w:rsid w:val="00BF733B"/>
    <w:rsid w:val="00BF7509"/>
    <w:rsid w:val="00BF7612"/>
    <w:rsid w:val="00BF7683"/>
    <w:rsid w:val="00BF770C"/>
    <w:rsid w:val="00C00414"/>
    <w:rsid w:val="00C013B5"/>
    <w:rsid w:val="00C0209B"/>
    <w:rsid w:val="00C02489"/>
    <w:rsid w:val="00C03C45"/>
    <w:rsid w:val="00C040C5"/>
    <w:rsid w:val="00C044C2"/>
    <w:rsid w:val="00C04EDD"/>
    <w:rsid w:val="00C05A1D"/>
    <w:rsid w:val="00C07076"/>
    <w:rsid w:val="00C07634"/>
    <w:rsid w:val="00C07BC8"/>
    <w:rsid w:val="00C10B87"/>
    <w:rsid w:val="00C10FD5"/>
    <w:rsid w:val="00C12383"/>
    <w:rsid w:val="00C137D2"/>
    <w:rsid w:val="00C14973"/>
    <w:rsid w:val="00C15197"/>
    <w:rsid w:val="00C15304"/>
    <w:rsid w:val="00C15376"/>
    <w:rsid w:val="00C157F4"/>
    <w:rsid w:val="00C15B0D"/>
    <w:rsid w:val="00C16EAC"/>
    <w:rsid w:val="00C17161"/>
    <w:rsid w:val="00C173A1"/>
    <w:rsid w:val="00C174B5"/>
    <w:rsid w:val="00C17B21"/>
    <w:rsid w:val="00C17D95"/>
    <w:rsid w:val="00C17FC8"/>
    <w:rsid w:val="00C200A3"/>
    <w:rsid w:val="00C21001"/>
    <w:rsid w:val="00C22213"/>
    <w:rsid w:val="00C22269"/>
    <w:rsid w:val="00C25508"/>
    <w:rsid w:val="00C2554F"/>
    <w:rsid w:val="00C25ED9"/>
    <w:rsid w:val="00C260BE"/>
    <w:rsid w:val="00C26E87"/>
    <w:rsid w:val="00C271B4"/>
    <w:rsid w:val="00C27989"/>
    <w:rsid w:val="00C30A69"/>
    <w:rsid w:val="00C31617"/>
    <w:rsid w:val="00C32397"/>
    <w:rsid w:val="00C3265B"/>
    <w:rsid w:val="00C32E6B"/>
    <w:rsid w:val="00C34431"/>
    <w:rsid w:val="00C34DFE"/>
    <w:rsid w:val="00C35E68"/>
    <w:rsid w:val="00C36469"/>
    <w:rsid w:val="00C36B71"/>
    <w:rsid w:val="00C373F7"/>
    <w:rsid w:val="00C376FC"/>
    <w:rsid w:val="00C37E0D"/>
    <w:rsid w:val="00C37FF0"/>
    <w:rsid w:val="00C410A9"/>
    <w:rsid w:val="00C41DBA"/>
    <w:rsid w:val="00C41DEB"/>
    <w:rsid w:val="00C4271B"/>
    <w:rsid w:val="00C42CF6"/>
    <w:rsid w:val="00C43903"/>
    <w:rsid w:val="00C43A45"/>
    <w:rsid w:val="00C43E45"/>
    <w:rsid w:val="00C44466"/>
    <w:rsid w:val="00C44D08"/>
    <w:rsid w:val="00C45F20"/>
    <w:rsid w:val="00C45FC2"/>
    <w:rsid w:val="00C46276"/>
    <w:rsid w:val="00C46C50"/>
    <w:rsid w:val="00C472C8"/>
    <w:rsid w:val="00C502B8"/>
    <w:rsid w:val="00C5036C"/>
    <w:rsid w:val="00C52611"/>
    <w:rsid w:val="00C52A65"/>
    <w:rsid w:val="00C53509"/>
    <w:rsid w:val="00C53870"/>
    <w:rsid w:val="00C542E0"/>
    <w:rsid w:val="00C548C6"/>
    <w:rsid w:val="00C5579E"/>
    <w:rsid w:val="00C55E05"/>
    <w:rsid w:val="00C56C94"/>
    <w:rsid w:val="00C57226"/>
    <w:rsid w:val="00C57578"/>
    <w:rsid w:val="00C60EB9"/>
    <w:rsid w:val="00C61AAC"/>
    <w:rsid w:val="00C62251"/>
    <w:rsid w:val="00C64BD4"/>
    <w:rsid w:val="00C6794F"/>
    <w:rsid w:val="00C67CBD"/>
    <w:rsid w:val="00C67D9F"/>
    <w:rsid w:val="00C70EBF"/>
    <w:rsid w:val="00C71CC7"/>
    <w:rsid w:val="00C72315"/>
    <w:rsid w:val="00C72635"/>
    <w:rsid w:val="00C7288A"/>
    <w:rsid w:val="00C7380A"/>
    <w:rsid w:val="00C738A8"/>
    <w:rsid w:val="00C73F4D"/>
    <w:rsid w:val="00C747CB"/>
    <w:rsid w:val="00C7480C"/>
    <w:rsid w:val="00C74DD2"/>
    <w:rsid w:val="00C75038"/>
    <w:rsid w:val="00C75F8C"/>
    <w:rsid w:val="00C76AA6"/>
    <w:rsid w:val="00C774D1"/>
    <w:rsid w:val="00C77C0A"/>
    <w:rsid w:val="00C77CC6"/>
    <w:rsid w:val="00C77F06"/>
    <w:rsid w:val="00C81379"/>
    <w:rsid w:val="00C81B56"/>
    <w:rsid w:val="00C8243E"/>
    <w:rsid w:val="00C8287C"/>
    <w:rsid w:val="00C842E0"/>
    <w:rsid w:val="00C85CBB"/>
    <w:rsid w:val="00C8615E"/>
    <w:rsid w:val="00C86CD8"/>
    <w:rsid w:val="00C87141"/>
    <w:rsid w:val="00C8766C"/>
    <w:rsid w:val="00C91410"/>
    <w:rsid w:val="00C9228D"/>
    <w:rsid w:val="00C92F9C"/>
    <w:rsid w:val="00C931A1"/>
    <w:rsid w:val="00C95390"/>
    <w:rsid w:val="00C9754D"/>
    <w:rsid w:val="00C9787F"/>
    <w:rsid w:val="00CA0577"/>
    <w:rsid w:val="00CA0704"/>
    <w:rsid w:val="00CA0766"/>
    <w:rsid w:val="00CA07A6"/>
    <w:rsid w:val="00CA171A"/>
    <w:rsid w:val="00CA185D"/>
    <w:rsid w:val="00CA2387"/>
    <w:rsid w:val="00CA270C"/>
    <w:rsid w:val="00CA3CDB"/>
    <w:rsid w:val="00CA4F4A"/>
    <w:rsid w:val="00CA530E"/>
    <w:rsid w:val="00CA534E"/>
    <w:rsid w:val="00CA5E96"/>
    <w:rsid w:val="00CA7A75"/>
    <w:rsid w:val="00CA7ABD"/>
    <w:rsid w:val="00CB00C8"/>
    <w:rsid w:val="00CB0EEA"/>
    <w:rsid w:val="00CB11D1"/>
    <w:rsid w:val="00CB2227"/>
    <w:rsid w:val="00CB2CBD"/>
    <w:rsid w:val="00CB5452"/>
    <w:rsid w:val="00CB5F6B"/>
    <w:rsid w:val="00CB5FAA"/>
    <w:rsid w:val="00CB641D"/>
    <w:rsid w:val="00CB74C3"/>
    <w:rsid w:val="00CC075C"/>
    <w:rsid w:val="00CC12AE"/>
    <w:rsid w:val="00CC16CB"/>
    <w:rsid w:val="00CC1E1A"/>
    <w:rsid w:val="00CC228B"/>
    <w:rsid w:val="00CC321A"/>
    <w:rsid w:val="00CC346C"/>
    <w:rsid w:val="00CC428C"/>
    <w:rsid w:val="00CC566A"/>
    <w:rsid w:val="00CC58F6"/>
    <w:rsid w:val="00CC622A"/>
    <w:rsid w:val="00CC6790"/>
    <w:rsid w:val="00CC77E7"/>
    <w:rsid w:val="00CC7B18"/>
    <w:rsid w:val="00CD009C"/>
    <w:rsid w:val="00CD0DDA"/>
    <w:rsid w:val="00CD23FB"/>
    <w:rsid w:val="00CD2A1C"/>
    <w:rsid w:val="00CD4A7B"/>
    <w:rsid w:val="00CD5709"/>
    <w:rsid w:val="00CD7AE2"/>
    <w:rsid w:val="00CE042E"/>
    <w:rsid w:val="00CE128A"/>
    <w:rsid w:val="00CE1B0C"/>
    <w:rsid w:val="00CE1D03"/>
    <w:rsid w:val="00CE2B4B"/>
    <w:rsid w:val="00CE2F1B"/>
    <w:rsid w:val="00CE3208"/>
    <w:rsid w:val="00CE3B32"/>
    <w:rsid w:val="00CE58DB"/>
    <w:rsid w:val="00CE6F3D"/>
    <w:rsid w:val="00CE7494"/>
    <w:rsid w:val="00CE7D47"/>
    <w:rsid w:val="00CF0894"/>
    <w:rsid w:val="00CF105B"/>
    <w:rsid w:val="00CF10B5"/>
    <w:rsid w:val="00CF268C"/>
    <w:rsid w:val="00CF2E30"/>
    <w:rsid w:val="00CF38DA"/>
    <w:rsid w:val="00CF3F59"/>
    <w:rsid w:val="00CF421E"/>
    <w:rsid w:val="00CF4AAB"/>
    <w:rsid w:val="00CF4BCF"/>
    <w:rsid w:val="00CF4C73"/>
    <w:rsid w:val="00CF4D1F"/>
    <w:rsid w:val="00CF5656"/>
    <w:rsid w:val="00CF64B6"/>
    <w:rsid w:val="00CF6A09"/>
    <w:rsid w:val="00CF6B1E"/>
    <w:rsid w:val="00CF6DF7"/>
    <w:rsid w:val="00D009D8"/>
    <w:rsid w:val="00D00F7A"/>
    <w:rsid w:val="00D01E5F"/>
    <w:rsid w:val="00D023B5"/>
    <w:rsid w:val="00D02C81"/>
    <w:rsid w:val="00D03A7D"/>
    <w:rsid w:val="00D03E55"/>
    <w:rsid w:val="00D0447D"/>
    <w:rsid w:val="00D04CEF"/>
    <w:rsid w:val="00D05C9A"/>
    <w:rsid w:val="00D067A4"/>
    <w:rsid w:val="00D075E2"/>
    <w:rsid w:val="00D119DF"/>
    <w:rsid w:val="00D138AF"/>
    <w:rsid w:val="00D1495F"/>
    <w:rsid w:val="00D154E4"/>
    <w:rsid w:val="00D159A0"/>
    <w:rsid w:val="00D1602B"/>
    <w:rsid w:val="00D16382"/>
    <w:rsid w:val="00D17245"/>
    <w:rsid w:val="00D17D98"/>
    <w:rsid w:val="00D2016E"/>
    <w:rsid w:val="00D222AA"/>
    <w:rsid w:val="00D23065"/>
    <w:rsid w:val="00D23BF5"/>
    <w:rsid w:val="00D24A52"/>
    <w:rsid w:val="00D261D4"/>
    <w:rsid w:val="00D27FA2"/>
    <w:rsid w:val="00D27FB3"/>
    <w:rsid w:val="00D31966"/>
    <w:rsid w:val="00D31B93"/>
    <w:rsid w:val="00D32295"/>
    <w:rsid w:val="00D322BF"/>
    <w:rsid w:val="00D33937"/>
    <w:rsid w:val="00D33A2D"/>
    <w:rsid w:val="00D3476F"/>
    <w:rsid w:val="00D34C78"/>
    <w:rsid w:val="00D3711D"/>
    <w:rsid w:val="00D371C4"/>
    <w:rsid w:val="00D37217"/>
    <w:rsid w:val="00D37F09"/>
    <w:rsid w:val="00D4050A"/>
    <w:rsid w:val="00D40B24"/>
    <w:rsid w:val="00D421AF"/>
    <w:rsid w:val="00D42EEC"/>
    <w:rsid w:val="00D43167"/>
    <w:rsid w:val="00D43DBD"/>
    <w:rsid w:val="00D43EB5"/>
    <w:rsid w:val="00D4519F"/>
    <w:rsid w:val="00D47708"/>
    <w:rsid w:val="00D512CF"/>
    <w:rsid w:val="00D51D7D"/>
    <w:rsid w:val="00D52203"/>
    <w:rsid w:val="00D527F9"/>
    <w:rsid w:val="00D52E9C"/>
    <w:rsid w:val="00D53BF4"/>
    <w:rsid w:val="00D540AB"/>
    <w:rsid w:val="00D5451D"/>
    <w:rsid w:val="00D55425"/>
    <w:rsid w:val="00D55763"/>
    <w:rsid w:val="00D55EC7"/>
    <w:rsid w:val="00D56028"/>
    <w:rsid w:val="00D57721"/>
    <w:rsid w:val="00D6034E"/>
    <w:rsid w:val="00D60F63"/>
    <w:rsid w:val="00D61BF1"/>
    <w:rsid w:val="00D627A0"/>
    <w:rsid w:val="00D63BAE"/>
    <w:rsid w:val="00D646D4"/>
    <w:rsid w:val="00D64CFD"/>
    <w:rsid w:val="00D6622F"/>
    <w:rsid w:val="00D667C7"/>
    <w:rsid w:val="00D67784"/>
    <w:rsid w:val="00D67B54"/>
    <w:rsid w:val="00D67CFE"/>
    <w:rsid w:val="00D71B30"/>
    <w:rsid w:val="00D729B1"/>
    <w:rsid w:val="00D73EBA"/>
    <w:rsid w:val="00D757BA"/>
    <w:rsid w:val="00D764D6"/>
    <w:rsid w:val="00D776B9"/>
    <w:rsid w:val="00D80E01"/>
    <w:rsid w:val="00D81148"/>
    <w:rsid w:val="00D81862"/>
    <w:rsid w:val="00D82B88"/>
    <w:rsid w:val="00D82FBB"/>
    <w:rsid w:val="00D83A43"/>
    <w:rsid w:val="00D84783"/>
    <w:rsid w:val="00D856B5"/>
    <w:rsid w:val="00D862DA"/>
    <w:rsid w:val="00D867A4"/>
    <w:rsid w:val="00D8774F"/>
    <w:rsid w:val="00D87D7E"/>
    <w:rsid w:val="00D87EF4"/>
    <w:rsid w:val="00D90724"/>
    <w:rsid w:val="00D90C83"/>
    <w:rsid w:val="00D90DE1"/>
    <w:rsid w:val="00D90E7B"/>
    <w:rsid w:val="00D9119C"/>
    <w:rsid w:val="00D915C0"/>
    <w:rsid w:val="00D923DE"/>
    <w:rsid w:val="00D92ADC"/>
    <w:rsid w:val="00D931B9"/>
    <w:rsid w:val="00D95113"/>
    <w:rsid w:val="00D967C7"/>
    <w:rsid w:val="00D96E1C"/>
    <w:rsid w:val="00D9778C"/>
    <w:rsid w:val="00D97EBF"/>
    <w:rsid w:val="00DA012A"/>
    <w:rsid w:val="00DA0336"/>
    <w:rsid w:val="00DA086E"/>
    <w:rsid w:val="00DA0E58"/>
    <w:rsid w:val="00DA122C"/>
    <w:rsid w:val="00DA1F50"/>
    <w:rsid w:val="00DA493E"/>
    <w:rsid w:val="00DB0949"/>
    <w:rsid w:val="00DB0B68"/>
    <w:rsid w:val="00DB25F9"/>
    <w:rsid w:val="00DB2EE0"/>
    <w:rsid w:val="00DB310A"/>
    <w:rsid w:val="00DB481A"/>
    <w:rsid w:val="00DB5693"/>
    <w:rsid w:val="00DB59B7"/>
    <w:rsid w:val="00DB7442"/>
    <w:rsid w:val="00DB783D"/>
    <w:rsid w:val="00DC04E1"/>
    <w:rsid w:val="00DC08A8"/>
    <w:rsid w:val="00DC1D58"/>
    <w:rsid w:val="00DC2920"/>
    <w:rsid w:val="00DC2D6C"/>
    <w:rsid w:val="00DC35A1"/>
    <w:rsid w:val="00DC3877"/>
    <w:rsid w:val="00DC3AAD"/>
    <w:rsid w:val="00DC3C22"/>
    <w:rsid w:val="00DC43AB"/>
    <w:rsid w:val="00DC4E7B"/>
    <w:rsid w:val="00DC722D"/>
    <w:rsid w:val="00DD1095"/>
    <w:rsid w:val="00DD4B6A"/>
    <w:rsid w:val="00DD4B8B"/>
    <w:rsid w:val="00DD6266"/>
    <w:rsid w:val="00DD6428"/>
    <w:rsid w:val="00DD69E2"/>
    <w:rsid w:val="00DD6E0F"/>
    <w:rsid w:val="00DD73EA"/>
    <w:rsid w:val="00DE0080"/>
    <w:rsid w:val="00DE0DD8"/>
    <w:rsid w:val="00DE1085"/>
    <w:rsid w:val="00DE1CB4"/>
    <w:rsid w:val="00DE2055"/>
    <w:rsid w:val="00DE2266"/>
    <w:rsid w:val="00DE263F"/>
    <w:rsid w:val="00DE4EC7"/>
    <w:rsid w:val="00DE500E"/>
    <w:rsid w:val="00DE6CA0"/>
    <w:rsid w:val="00DE70D0"/>
    <w:rsid w:val="00DE7242"/>
    <w:rsid w:val="00DE7504"/>
    <w:rsid w:val="00DF0464"/>
    <w:rsid w:val="00DF0E88"/>
    <w:rsid w:val="00DF254D"/>
    <w:rsid w:val="00DF394B"/>
    <w:rsid w:val="00DF3CC4"/>
    <w:rsid w:val="00DF48B9"/>
    <w:rsid w:val="00DF61EF"/>
    <w:rsid w:val="00DF7C46"/>
    <w:rsid w:val="00DF7DA5"/>
    <w:rsid w:val="00E00D23"/>
    <w:rsid w:val="00E02DF3"/>
    <w:rsid w:val="00E03470"/>
    <w:rsid w:val="00E038EC"/>
    <w:rsid w:val="00E044D4"/>
    <w:rsid w:val="00E046B5"/>
    <w:rsid w:val="00E0473E"/>
    <w:rsid w:val="00E04A1B"/>
    <w:rsid w:val="00E066BD"/>
    <w:rsid w:val="00E06D95"/>
    <w:rsid w:val="00E06DBE"/>
    <w:rsid w:val="00E07631"/>
    <w:rsid w:val="00E078DD"/>
    <w:rsid w:val="00E07BC8"/>
    <w:rsid w:val="00E12E04"/>
    <w:rsid w:val="00E136AA"/>
    <w:rsid w:val="00E13FAF"/>
    <w:rsid w:val="00E146F5"/>
    <w:rsid w:val="00E15204"/>
    <w:rsid w:val="00E1575C"/>
    <w:rsid w:val="00E17436"/>
    <w:rsid w:val="00E17698"/>
    <w:rsid w:val="00E21554"/>
    <w:rsid w:val="00E21715"/>
    <w:rsid w:val="00E21BC7"/>
    <w:rsid w:val="00E222B7"/>
    <w:rsid w:val="00E23456"/>
    <w:rsid w:val="00E23963"/>
    <w:rsid w:val="00E24EA9"/>
    <w:rsid w:val="00E27B15"/>
    <w:rsid w:val="00E27B9A"/>
    <w:rsid w:val="00E27F4E"/>
    <w:rsid w:val="00E30CA4"/>
    <w:rsid w:val="00E30EF3"/>
    <w:rsid w:val="00E330B8"/>
    <w:rsid w:val="00E34B3C"/>
    <w:rsid w:val="00E354E0"/>
    <w:rsid w:val="00E35F72"/>
    <w:rsid w:val="00E366B3"/>
    <w:rsid w:val="00E36D9E"/>
    <w:rsid w:val="00E37608"/>
    <w:rsid w:val="00E4024D"/>
    <w:rsid w:val="00E40295"/>
    <w:rsid w:val="00E405D3"/>
    <w:rsid w:val="00E4107D"/>
    <w:rsid w:val="00E41252"/>
    <w:rsid w:val="00E41DE4"/>
    <w:rsid w:val="00E42D8E"/>
    <w:rsid w:val="00E43AC2"/>
    <w:rsid w:val="00E45553"/>
    <w:rsid w:val="00E457E2"/>
    <w:rsid w:val="00E45A10"/>
    <w:rsid w:val="00E45D85"/>
    <w:rsid w:val="00E46E24"/>
    <w:rsid w:val="00E47300"/>
    <w:rsid w:val="00E47B6F"/>
    <w:rsid w:val="00E47DC9"/>
    <w:rsid w:val="00E50842"/>
    <w:rsid w:val="00E50DA6"/>
    <w:rsid w:val="00E5143D"/>
    <w:rsid w:val="00E516EB"/>
    <w:rsid w:val="00E52D6A"/>
    <w:rsid w:val="00E5391E"/>
    <w:rsid w:val="00E548CB"/>
    <w:rsid w:val="00E54A84"/>
    <w:rsid w:val="00E54DF6"/>
    <w:rsid w:val="00E55598"/>
    <w:rsid w:val="00E5585C"/>
    <w:rsid w:val="00E5779B"/>
    <w:rsid w:val="00E57AB8"/>
    <w:rsid w:val="00E60FDB"/>
    <w:rsid w:val="00E623D5"/>
    <w:rsid w:val="00E62D40"/>
    <w:rsid w:val="00E631B0"/>
    <w:rsid w:val="00E64187"/>
    <w:rsid w:val="00E64AF7"/>
    <w:rsid w:val="00E66B1A"/>
    <w:rsid w:val="00E67DFB"/>
    <w:rsid w:val="00E71E72"/>
    <w:rsid w:val="00E7322F"/>
    <w:rsid w:val="00E7377D"/>
    <w:rsid w:val="00E73D35"/>
    <w:rsid w:val="00E74497"/>
    <w:rsid w:val="00E744D2"/>
    <w:rsid w:val="00E749D0"/>
    <w:rsid w:val="00E74E88"/>
    <w:rsid w:val="00E756EA"/>
    <w:rsid w:val="00E75BB4"/>
    <w:rsid w:val="00E7713E"/>
    <w:rsid w:val="00E7785C"/>
    <w:rsid w:val="00E810BD"/>
    <w:rsid w:val="00E812AD"/>
    <w:rsid w:val="00E81E21"/>
    <w:rsid w:val="00E824D1"/>
    <w:rsid w:val="00E82CBB"/>
    <w:rsid w:val="00E83245"/>
    <w:rsid w:val="00E835C6"/>
    <w:rsid w:val="00E84A3A"/>
    <w:rsid w:val="00E854D7"/>
    <w:rsid w:val="00E8553B"/>
    <w:rsid w:val="00E85873"/>
    <w:rsid w:val="00E85F86"/>
    <w:rsid w:val="00E86E23"/>
    <w:rsid w:val="00E876BA"/>
    <w:rsid w:val="00E8771F"/>
    <w:rsid w:val="00E9030F"/>
    <w:rsid w:val="00E907DF"/>
    <w:rsid w:val="00E91397"/>
    <w:rsid w:val="00E92BD5"/>
    <w:rsid w:val="00E934AB"/>
    <w:rsid w:val="00E95614"/>
    <w:rsid w:val="00E960D8"/>
    <w:rsid w:val="00E968C3"/>
    <w:rsid w:val="00E968F6"/>
    <w:rsid w:val="00E97C1B"/>
    <w:rsid w:val="00E97F65"/>
    <w:rsid w:val="00EA0B81"/>
    <w:rsid w:val="00EA16E6"/>
    <w:rsid w:val="00EA23CB"/>
    <w:rsid w:val="00EA2B8A"/>
    <w:rsid w:val="00EA2BBF"/>
    <w:rsid w:val="00EA2C8D"/>
    <w:rsid w:val="00EA3366"/>
    <w:rsid w:val="00EA3C88"/>
    <w:rsid w:val="00EA4C6F"/>
    <w:rsid w:val="00EA5BC8"/>
    <w:rsid w:val="00EA68DE"/>
    <w:rsid w:val="00EA692D"/>
    <w:rsid w:val="00EA6B83"/>
    <w:rsid w:val="00EA7099"/>
    <w:rsid w:val="00EA71A2"/>
    <w:rsid w:val="00EA7453"/>
    <w:rsid w:val="00EB015D"/>
    <w:rsid w:val="00EB01DD"/>
    <w:rsid w:val="00EB12BE"/>
    <w:rsid w:val="00EB1786"/>
    <w:rsid w:val="00EB3DF7"/>
    <w:rsid w:val="00EB4137"/>
    <w:rsid w:val="00EB431F"/>
    <w:rsid w:val="00EB4A92"/>
    <w:rsid w:val="00EB4E4A"/>
    <w:rsid w:val="00EB4FD1"/>
    <w:rsid w:val="00EB5477"/>
    <w:rsid w:val="00EB56A2"/>
    <w:rsid w:val="00EC1D0D"/>
    <w:rsid w:val="00EC2FE2"/>
    <w:rsid w:val="00EC2FF9"/>
    <w:rsid w:val="00EC4253"/>
    <w:rsid w:val="00EC4E8D"/>
    <w:rsid w:val="00EC5A18"/>
    <w:rsid w:val="00EC60E3"/>
    <w:rsid w:val="00EC6253"/>
    <w:rsid w:val="00EC6A7E"/>
    <w:rsid w:val="00EC6FBF"/>
    <w:rsid w:val="00EC72C1"/>
    <w:rsid w:val="00ED07C6"/>
    <w:rsid w:val="00ED1FD3"/>
    <w:rsid w:val="00ED20B6"/>
    <w:rsid w:val="00ED32A2"/>
    <w:rsid w:val="00ED335F"/>
    <w:rsid w:val="00ED4742"/>
    <w:rsid w:val="00ED644E"/>
    <w:rsid w:val="00ED6CBD"/>
    <w:rsid w:val="00ED6EE1"/>
    <w:rsid w:val="00ED73B5"/>
    <w:rsid w:val="00ED768C"/>
    <w:rsid w:val="00ED7752"/>
    <w:rsid w:val="00ED7DD3"/>
    <w:rsid w:val="00EE1454"/>
    <w:rsid w:val="00EE16D7"/>
    <w:rsid w:val="00EE38E6"/>
    <w:rsid w:val="00EE398D"/>
    <w:rsid w:val="00EE3DFD"/>
    <w:rsid w:val="00EE4E08"/>
    <w:rsid w:val="00EE5A67"/>
    <w:rsid w:val="00EE6894"/>
    <w:rsid w:val="00EE6BAF"/>
    <w:rsid w:val="00EE6D9C"/>
    <w:rsid w:val="00EE74F1"/>
    <w:rsid w:val="00EE7B83"/>
    <w:rsid w:val="00EF019A"/>
    <w:rsid w:val="00EF050F"/>
    <w:rsid w:val="00EF0527"/>
    <w:rsid w:val="00EF113F"/>
    <w:rsid w:val="00EF1352"/>
    <w:rsid w:val="00EF1457"/>
    <w:rsid w:val="00EF1668"/>
    <w:rsid w:val="00EF251C"/>
    <w:rsid w:val="00EF2CDC"/>
    <w:rsid w:val="00EF3835"/>
    <w:rsid w:val="00EF46FE"/>
    <w:rsid w:val="00EF54D6"/>
    <w:rsid w:val="00EF5B89"/>
    <w:rsid w:val="00EF6400"/>
    <w:rsid w:val="00EF6C19"/>
    <w:rsid w:val="00F0111B"/>
    <w:rsid w:val="00F011D1"/>
    <w:rsid w:val="00F0125C"/>
    <w:rsid w:val="00F0151A"/>
    <w:rsid w:val="00F01AA5"/>
    <w:rsid w:val="00F01E17"/>
    <w:rsid w:val="00F024D3"/>
    <w:rsid w:val="00F02889"/>
    <w:rsid w:val="00F02B6C"/>
    <w:rsid w:val="00F03DA2"/>
    <w:rsid w:val="00F0400A"/>
    <w:rsid w:val="00F040A8"/>
    <w:rsid w:val="00F041B1"/>
    <w:rsid w:val="00F04417"/>
    <w:rsid w:val="00F046FE"/>
    <w:rsid w:val="00F04A60"/>
    <w:rsid w:val="00F05A07"/>
    <w:rsid w:val="00F060C9"/>
    <w:rsid w:val="00F068A7"/>
    <w:rsid w:val="00F06DDB"/>
    <w:rsid w:val="00F06FE0"/>
    <w:rsid w:val="00F07A0F"/>
    <w:rsid w:val="00F07D09"/>
    <w:rsid w:val="00F10925"/>
    <w:rsid w:val="00F117F8"/>
    <w:rsid w:val="00F11D28"/>
    <w:rsid w:val="00F1235E"/>
    <w:rsid w:val="00F134E8"/>
    <w:rsid w:val="00F13A3D"/>
    <w:rsid w:val="00F14452"/>
    <w:rsid w:val="00F1456F"/>
    <w:rsid w:val="00F151E9"/>
    <w:rsid w:val="00F15553"/>
    <w:rsid w:val="00F15DBF"/>
    <w:rsid w:val="00F15EFD"/>
    <w:rsid w:val="00F1736D"/>
    <w:rsid w:val="00F177F8"/>
    <w:rsid w:val="00F200BF"/>
    <w:rsid w:val="00F21702"/>
    <w:rsid w:val="00F218FE"/>
    <w:rsid w:val="00F21E20"/>
    <w:rsid w:val="00F2253D"/>
    <w:rsid w:val="00F22D72"/>
    <w:rsid w:val="00F23328"/>
    <w:rsid w:val="00F2430D"/>
    <w:rsid w:val="00F24DE7"/>
    <w:rsid w:val="00F24EAF"/>
    <w:rsid w:val="00F25AB2"/>
    <w:rsid w:val="00F269AC"/>
    <w:rsid w:val="00F27DA3"/>
    <w:rsid w:val="00F27F73"/>
    <w:rsid w:val="00F300D3"/>
    <w:rsid w:val="00F306E8"/>
    <w:rsid w:val="00F3135E"/>
    <w:rsid w:val="00F317EC"/>
    <w:rsid w:val="00F3229B"/>
    <w:rsid w:val="00F32DF2"/>
    <w:rsid w:val="00F3338B"/>
    <w:rsid w:val="00F33765"/>
    <w:rsid w:val="00F343DF"/>
    <w:rsid w:val="00F34F44"/>
    <w:rsid w:val="00F366D3"/>
    <w:rsid w:val="00F36759"/>
    <w:rsid w:val="00F3684D"/>
    <w:rsid w:val="00F373A0"/>
    <w:rsid w:val="00F406D0"/>
    <w:rsid w:val="00F40B57"/>
    <w:rsid w:val="00F40EE4"/>
    <w:rsid w:val="00F414CB"/>
    <w:rsid w:val="00F42134"/>
    <w:rsid w:val="00F42C42"/>
    <w:rsid w:val="00F44DB5"/>
    <w:rsid w:val="00F46798"/>
    <w:rsid w:val="00F474EC"/>
    <w:rsid w:val="00F47B5E"/>
    <w:rsid w:val="00F47C02"/>
    <w:rsid w:val="00F51033"/>
    <w:rsid w:val="00F51AD5"/>
    <w:rsid w:val="00F53622"/>
    <w:rsid w:val="00F53AE9"/>
    <w:rsid w:val="00F54247"/>
    <w:rsid w:val="00F54535"/>
    <w:rsid w:val="00F5468E"/>
    <w:rsid w:val="00F557A8"/>
    <w:rsid w:val="00F55CC5"/>
    <w:rsid w:val="00F56414"/>
    <w:rsid w:val="00F5667C"/>
    <w:rsid w:val="00F575A5"/>
    <w:rsid w:val="00F57619"/>
    <w:rsid w:val="00F605CA"/>
    <w:rsid w:val="00F60977"/>
    <w:rsid w:val="00F60A5E"/>
    <w:rsid w:val="00F60D99"/>
    <w:rsid w:val="00F617C9"/>
    <w:rsid w:val="00F6261F"/>
    <w:rsid w:val="00F62922"/>
    <w:rsid w:val="00F638CF"/>
    <w:rsid w:val="00F63D86"/>
    <w:rsid w:val="00F65148"/>
    <w:rsid w:val="00F654C9"/>
    <w:rsid w:val="00F65916"/>
    <w:rsid w:val="00F66152"/>
    <w:rsid w:val="00F663B7"/>
    <w:rsid w:val="00F66D6B"/>
    <w:rsid w:val="00F67EA6"/>
    <w:rsid w:val="00F7060B"/>
    <w:rsid w:val="00F70632"/>
    <w:rsid w:val="00F70F19"/>
    <w:rsid w:val="00F70FEA"/>
    <w:rsid w:val="00F712A2"/>
    <w:rsid w:val="00F715C8"/>
    <w:rsid w:val="00F72508"/>
    <w:rsid w:val="00F72910"/>
    <w:rsid w:val="00F735E7"/>
    <w:rsid w:val="00F73760"/>
    <w:rsid w:val="00F73D59"/>
    <w:rsid w:val="00F740B2"/>
    <w:rsid w:val="00F7577E"/>
    <w:rsid w:val="00F76EB5"/>
    <w:rsid w:val="00F7745C"/>
    <w:rsid w:val="00F8070E"/>
    <w:rsid w:val="00F80FA4"/>
    <w:rsid w:val="00F81517"/>
    <w:rsid w:val="00F8172E"/>
    <w:rsid w:val="00F83377"/>
    <w:rsid w:val="00F8359D"/>
    <w:rsid w:val="00F84F8C"/>
    <w:rsid w:val="00F902FF"/>
    <w:rsid w:val="00F90DDD"/>
    <w:rsid w:val="00F91ACE"/>
    <w:rsid w:val="00F91E71"/>
    <w:rsid w:val="00F92E8D"/>
    <w:rsid w:val="00F930A2"/>
    <w:rsid w:val="00F9368B"/>
    <w:rsid w:val="00F950C3"/>
    <w:rsid w:val="00F950E7"/>
    <w:rsid w:val="00F95858"/>
    <w:rsid w:val="00F958C7"/>
    <w:rsid w:val="00F96B38"/>
    <w:rsid w:val="00F97084"/>
    <w:rsid w:val="00F97FD4"/>
    <w:rsid w:val="00FA0307"/>
    <w:rsid w:val="00FA0647"/>
    <w:rsid w:val="00FA1715"/>
    <w:rsid w:val="00FA214C"/>
    <w:rsid w:val="00FA2265"/>
    <w:rsid w:val="00FA2378"/>
    <w:rsid w:val="00FA45C2"/>
    <w:rsid w:val="00FA4D6D"/>
    <w:rsid w:val="00FA5F25"/>
    <w:rsid w:val="00FA61D3"/>
    <w:rsid w:val="00FA67DC"/>
    <w:rsid w:val="00FA73F1"/>
    <w:rsid w:val="00FB1BE7"/>
    <w:rsid w:val="00FB1C53"/>
    <w:rsid w:val="00FB302A"/>
    <w:rsid w:val="00FB33EC"/>
    <w:rsid w:val="00FB531D"/>
    <w:rsid w:val="00FB54DD"/>
    <w:rsid w:val="00FB5941"/>
    <w:rsid w:val="00FB61CC"/>
    <w:rsid w:val="00FB6519"/>
    <w:rsid w:val="00FB6FAD"/>
    <w:rsid w:val="00FB7085"/>
    <w:rsid w:val="00FB70DF"/>
    <w:rsid w:val="00FC0B01"/>
    <w:rsid w:val="00FC13C9"/>
    <w:rsid w:val="00FC1F85"/>
    <w:rsid w:val="00FC29AF"/>
    <w:rsid w:val="00FC2A46"/>
    <w:rsid w:val="00FC2F2C"/>
    <w:rsid w:val="00FC3CAE"/>
    <w:rsid w:val="00FC4383"/>
    <w:rsid w:val="00FC49FA"/>
    <w:rsid w:val="00FC50E6"/>
    <w:rsid w:val="00FC5FD6"/>
    <w:rsid w:val="00FC61EA"/>
    <w:rsid w:val="00FC6A0C"/>
    <w:rsid w:val="00FC6E6B"/>
    <w:rsid w:val="00FC790B"/>
    <w:rsid w:val="00FC7E2D"/>
    <w:rsid w:val="00FD0373"/>
    <w:rsid w:val="00FD08DF"/>
    <w:rsid w:val="00FD0ABC"/>
    <w:rsid w:val="00FD17F0"/>
    <w:rsid w:val="00FD1A9C"/>
    <w:rsid w:val="00FD2697"/>
    <w:rsid w:val="00FD2E76"/>
    <w:rsid w:val="00FD3904"/>
    <w:rsid w:val="00FD526E"/>
    <w:rsid w:val="00FD5863"/>
    <w:rsid w:val="00FD5A9E"/>
    <w:rsid w:val="00FD5E29"/>
    <w:rsid w:val="00FD6725"/>
    <w:rsid w:val="00FD6F05"/>
    <w:rsid w:val="00FD7A3A"/>
    <w:rsid w:val="00FE0E84"/>
    <w:rsid w:val="00FE1117"/>
    <w:rsid w:val="00FE11D9"/>
    <w:rsid w:val="00FE1856"/>
    <w:rsid w:val="00FE1C62"/>
    <w:rsid w:val="00FE45A9"/>
    <w:rsid w:val="00FE47BF"/>
    <w:rsid w:val="00FE49EE"/>
    <w:rsid w:val="00FE5043"/>
    <w:rsid w:val="00FE7D1A"/>
    <w:rsid w:val="00FF0762"/>
    <w:rsid w:val="00FF0F0D"/>
    <w:rsid w:val="00FF1912"/>
    <w:rsid w:val="00FF1A8B"/>
    <w:rsid w:val="00FF232C"/>
    <w:rsid w:val="00FF2334"/>
    <w:rsid w:val="00FF2892"/>
    <w:rsid w:val="00FF2BF5"/>
    <w:rsid w:val="00FF2F9B"/>
    <w:rsid w:val="00FF31DD"/>
    <w:rsid w:val="00FF36DF"/>
    <w:rsid w:val="00FF37B4"/>
    <w:rsid w:val="00FF6416"/>
    <w:rsid w:val="00FF67E4"/>
    <w:rsid w:val="00FF6DE8"/>
    <w:rsid w:val="00FF7569"/>
    <w:rsid w:val="00FF7948"/>
    <w:rsid w:val="00FF796D"/>
    <w:rsid w:val="00FF7F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AC090B-59D9-4B5D-9BE5-E5EAC58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C"/>
    <w:rPr>
      <w:sz w:val="24"/>
      <w:szCs w:val="24"/>
      <w:lang w:eastAsia="es-ES"/>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link w:val="Textoindependiente"/>
    <w:rsid w:val="00820BB0"/>
    <w:rPr>
      <w:rFonts w:ascii="ZapfHumnst BT" w:hAnsi="ZapfHumnst BT"/>
      <w:bCs/>
      <w:sz w:val="18"/>
      <w:szCs w:val="24"/>
      <w:lang w:val="es-MX"/>
    </w:rPr>
  </w:style>
  <w:style w:type="character" w:styleId="nfasis">
    <w:name w:val="Emphasis"/>
    <w:qFormat/>
    <w:rsid w:val="00363310"/>
    <w:rPr>
      <w:i/>
      <w:iCs/>
    </w:rPr>
  </w:style>
  <w:style w:type="character" w:customStyle="1" w:styleId="Ttulo1Car">
    <w:name w:val="Título 1 Car"/>
    <w:link w:val="Ttulo1"/>
    <w:rsid w:val="00764803"/>
    <w:rPr>
      <w:b/>
      <w:bCs/>
      <w:sz w:val="24"/>
      <w:szCs w:val="24"/>
      <w:lang w:val="es-MX"/>
    </w:rPr>
  </w:style>
  <w:style w:type="character" w:customStyle="1" w:styleId="Ttulo2Car">
    <w:name w:val="Título 2 Car"/>
    <w:link w:val="Ttulo2"/>
    <w:rsid w:val="00764803"/>
    <w:rPr>
      <w:b/>
      <w:bCs/>
      <w:sz w:val="24"/>
      <w:szCs w:val="24"/>
      <w:lang w:val="es-MX"/>
    </w:rPr>
  </w:style>
  <w:style w:type="character" w:customStyle="1" w:styleId="Ttulo5Car">
    <w:name w:val="Título 5 Car"/>
    <w:link w:val="Ttulo5"/>
    <w:rsid w:val="00764803"/>
    <w:rPr>
      <w:rFonts w:ascii="Arial" w:hAnsi="Arial"/>
      <w:b/>
      <w:sz w:val="18"/>
      <w:szCs w:val="24"/>
      <w:lang w:val="es-MX"/>
    </w:rPr>
  </w:style>
  <w:style w:type="character" w:customStyle="1" w:styleId="Textoindependiente2Car">
    <w:name w:val="Texto independiente 2 Car"/>
    <w:link w:val="Textoindependiente2"/>
    <w:rsid w:val="00764803"/>
    <w:rPr>
      <w:rFonts w:ascii="Arial" w:hAnsi="Arial" w:cs="Arial"/>
      <w:sz w:val="22"/>
      <w:szCs w:val="22"/>
      <w:lang w:val="es-MX"/>
    </w:rPr>
  </w:style>
  <w:style w:type="character" w:customStyle="1" w:styleId="EncabezadoCar">
    <w:name w:val="Encabezado Car"/>
    <w:link w:val="Encabezado"/>
    <w:rsid w:val="00764803"/>
    <w:rPr>
      <w:sz w:val="24"/>
      <w:szCs w:val="24"/>
      <w:lang w:val="es-MX"/>
    </w:rPr>
  </w:style>
  <w:style w:type="character" w:customStyle="1" w:styleId="PiedepginaCar">
    <w:name w:val="Pie de página Car"/>
    <w:link w:val="Piedepgina"/>
    <w:rsid w:val="00764803"/>
    <w:rPr>
      <w:sz w:val="24"/>
      <w:szCs w:val="24"/>
      <w:lang w:val="es-MX"/>
    </w:rPr>
  </w:style>
  <w:style w:type="character" w:customStyle="1" w:styleId="TextodegloboCar">
    <w:name w:val="Texto de globo Ca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 w:type="table" w:styleId="Tablaconcuadrcula">
    <w:name w:val="Table Grid"/>
    <w:basedOn w:val="Tablanormal"/>
    <w:rsid w:val="0068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56">
      <w:bodyDiv w:val="1"/>
      <w:marLeft w:val="0"/>
      <w:marRight w:val="0"/>
      <w:marTop w:val="0"/>
      <w:marBottom w:val="0"/>
      <w:divBdr>
        <w:top w:val="none" w:sz="0" w:space="0" w:color="auto"/>
        <w:left w:val="none" w:sz="0" w:space="0" w:color="auto"/>
        <w:bottom w:val="none" w:sz="0" w:space="0" w:color="auto"/>
        <w:right w:val="none" w:sz="0" w:space="0" w:color="auto"/>
      </w:divBdr>
    </w:div>
    <w:div w:id="133180283">
      <w:bodyDiv w:val="1"/>
      <w:marLeft w:val="0"/>
      <w:marRight w:val="0"/>
      <w:marTop w:val="0"/>
      <w:marBottom w:val="0"/>
      <w:divBdr>
        <w:top w:val="none" w:sz="0" w:space="0" w:color="auto"/>
        <w:left w:val="none" w:sz="0" w:space="0" w:color="auto"/>
        <w:bottom w:val="none" w:sz="0" w:space="0" w:color="auto"/>
        <w:right w:val="none" w:sz="0" w:space="0" w:color="auto"/>
      </w:divBdr>
    </w:div>
    <w:div w:id="155537450">
      <w:bodyDiv w:val="1"/>
      <w:marLeft w:val="0"/>
      <w:marRight w:val="0"/>
      <w:marTop w:val="0"/>
      <w:marBottom w:val="0"/>
      <w:divBdr>
        <w:top w:val="none" w:sz="0" w:space="0" w:color="auto"/>
        <w:left w:val="none" w:sz="0" w:space="0" w:color="auto"/>
        <w:bottom w:val="none" w:sz="0" w:space="0" w:color="auto"/>
        <w:right w:val="none" w:sz="0" w:space="0" w:color="auto"/>
      </w:divBdr>
    </w:div>
    <w:div w:id="180748778">
      <w:bodyDiv w:val="1"/>
      <w:marLeft w:val="0"/>
      <w:marRight w:val="0"/>
      <w:marTop w:val="0"/>
      <w:marBottom w:val="0"/>
      <w:divBdr>
        <w:top w:val="none" w:sz="0" w:space="0" w:color="auto"/>
        <w:left w:val="none" w:sz="0" w:space="0" w:color="auto"/>
        <w:bottom w:val="none" w:sz="0" w:space="0" w:color="auto"/>
        <w:right w:val="none" w:sz="0" w:space="0" w:color="auto"/>
      </w:divBdr>
    </w:div>
    <w:div w:id="207421924">
      <w:bodyDiv w:val="1"/>
      <w:marLeft w:val="0"/>
      <w:marRight w:val="0"/>
      <w:marTop w:val="0"/>
      <w:marBottom w:val="0"/>
      <w:divBdr>
        <w:top w:val="none" w:sz="0" w:space="0" w:color="auto"/>
        <w:left w:val="none" w:sz="0" w:space="0" w:color="auto"/>
        <w:bottom w:val="none" w:sz="0" w:space="0" w:color="auto"/>
        <w:right w:val="none" w:sz="0" w:space="0" w:color="auto"/>
      </w:divBdr>
    </w:div>
    <w:div w:id="233319671">
      <w:bodyDiv w:val="1"/>
      <w:marLeft w:val="0"/>
      <w:marRight w:val="0"/>
      <w:marTop w:val="0"/>
      <w:marBottom w:val="0"/>
      <w:divBdr>
        <w:top w:val="none" w:sz="0" w:space="0" w:color="auto"/>
        <w:left w:val="none" w:sz="0" w:space="0" w:color="auto"/>
        <w:bottom w:val="none" w:sz="0" w:space="0" w:color="auto"/>
        <w:right w:val="none" w:sz="0" w:space="0" w:color="auto"/>
      </w:divBdr>
    </w:div>
    <w:div w:id="262227917">
      <w:bodyDiv w:val="1"/>
      <w:marLeft w:val="0"/>
      <w:marRight w:val="0"/>
      <w:marTop w:val="0"/>
      <w:marBottom w:val="0"/>
      <w:divBdr>
        <w:top w:val="none" w:sz="0" w:space="0" w:color="auto"/>
        <w:left w:val="none" w:sz="0" w:space="0" w:color="auto"/>
        <w:bottom w:val="none" w:sz="0" w:space="0" w:color="auto"/>
        <w:right w:val="none" w:sz="0" w:space="0" w:color="auto"/>
      </w:divBdr>
    </w:div>
    <w:div w:id="275412153">
      <w:bodyDiv w:val="1"/>
      <w:marLeft w:val="0"/>
      <w:marRight w:val="0"/>
      <w:marTop w:val="0"/>
      <w:marBottom w:val="0"/>
      <w:divBdr>
        <w:top w:val="none" w:sz="0" w:space="0" w:color="auto"/>
        <w:left w:val="none" w:sz="0" w:space="0" w:color="auto"/>
        <w:bottom w:val="none" w:sz="0" w:space="0" w:color="auto"/>
        <w:right w:val="none" w:sz="0" w:space="0" w:color="auto"/>
      </w:divBdr>
    </w:div>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514269097">
      <w:bodyDiv w:val="1"/>
      <w:marLeft w:val="0"/>
      <w:marRight w:val="0"/>
      <w:marTop w:val="0"/>
      <w:marBottom w:val="0"/>
      <w:divBdr>
        <w:top w:val="none" w:sz="0" w:space="0" w:color="auto"/>
        <w:left w:val="none" w:sz="0" w:space="0" w:color="auto"/>
        <w:bottom w:val="none" w:sz="0" w:space="0" w:color="auto"/>
        <w:right w:val="none" w:sz="0" w:space="0" w:color="auto"/>
      </w:divBdr>
    </w:div>
    <w:div w:id="577831802">
      <w:bodyDiv w:val="1"/>
      <w:marLeft w:val="0"/>
      <w:marRight w:val="0"/>
      <w:marTop w:val="0"/>
      <w:marBottom w:val="0"/>
      <w:divBdr>
        <w:top w:val="none" w:sz="0" w:space="0" w:color="auto"/>
        <w:left w:val="none" w:sz="0" w:space="0" w:color="auto"/>
        <w:bottom w:val="none" w:sz="0" w:space="0" w:color="auto"/>
        <w:right w:val="none" w:sz="0" w:space="0" w:color="auto"/>
      </w:divBdr>
    </w:div>
    <w:div w:id="613286635">
      <w:bodyDiv w:val="1"/>
      <w:marLeft w:val="0"/>
      <w:marRight w:val="0"/>
      <w:marTop w:val="0"/>
      <w:marBottom w:val="0"/>
      <w:divBdr>
        <w:top w:val="none" w:sz="0" w:space="0" w:color="auto"/>
        <w:left w:val="none" w:sz="0" w:space="0" w:color="auto"/>
        <w:bottom w:val="none" w:sz="0" w:space="0" w:color="auto"/>
        <w:right w:val="none" w:sz="0" w:space="0" w:color="auto"/>
      </w:divBdr>
    </w:div>
    <w:div w:id="779838391">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 w:id="924386878">
      <w:bodyDiv w:val="1"/>
      <w:marLeft w:val="0"/>
      <w:marRight w:val="0"/>
      <w:marTop w:val="0"/>
      <w:marBottom w:val="0"/>
      <w:divBdr>
        <w:top w:val="none" w:sz="0" w:space="0" w:color="auto"/>
        <w:left w:val="none" w:sz="0" w:space="0" w:color="auto"/>
        <w:bottom w:val="none" w:sz="0" w:space="0" w:color="auto"/>
        <w:right w:val="none" w:sz="0" w:space="0" w:color="auto"/>
      </w:divBdr>
    </w:div>
    <w:div w:id="980304919">
      <w:bodyDiv w:val="1"/>
      <w:marLeft w:val="0"/>
      <w:marRight w:val="0"/>
      <w:marTop w:val="0"/>
      <w:marBottom w:val="0"/>
      <w:divBdr>
        <w:top w:val="none" w:sz="0" w:space="0" w:color="auto"/>
        <w:left w:val="none" w:sz="0" w:space="0" w:color="auto"/>
        <w:bottom w:val="none" w:sz="0" w:space="0" w:color="auto"/>
        <w:right w:val="none" w:sz="0" w:space="0" w:color="auto"/>
      </w:divBdr>
    </w:div>
    <w:div w:id="1001350571">
      <w:bodyDiv w:val="1"/>
      <w:marLeft w:val="0"/>
      <w:marRight w:val="0"/>
      <w:marTop w:val="0"/>
      <w:marBottom w:val="0"/>
      <w:divBdr>
        <w:top w:val="none" w:sz="0" w:space="0" w:color="auto"/>
        <w:left w:val="none" w:sz="0" w:space="0" w:color="auto"/>
        <w:bottom w:val="none" w:sz="0" w:space="0" w:color="auto"/>
        <w:right w:val="none" w:sz="0" w:space="0" w:color="auto"/>
      </w:divBdr>
    </w:div>
    <w:div w:id="1081027745">
      <w:bodyDiv w:val="1"/>
      <w:marLeft w:val="0"/>
      <w:marRight w:val="0"/>
      <w:marTop w:val="0"/>
      <w:marBottom w:val="0"/>
      <w:divBdr>
        <w:top w:val="none" w:sz="0" w:space="0" w:color="auto"/>
        <w:left w:val="none" w:sz="0" w:space="0" w:color="auto"/>
        <w:bottom w:val="none" w:sz="0" w:space="0" w:color="auto"/>
        <w:right w:val="none" w:sz="0" w:space="0" w:color="auto"/>
      </w:divBdr>
    </w:div>
    <w:div w:id="1124739511">
      <w:bodyDiv w:val="1"/>
      <w:marLeft w:val="0"/>
      <w:marRight w:val="0"/>
      <w:marTop w:val="0"/>
      <w:marBottom w:val="0"/>
      <w:divBdr>
        <w:top w:val="none" w:sz="0" w:space="0" w:color="auto"/>
        <w:left w:val="none" w:sz="0" w:space="0" w:color="auto"/>
        <w:bottom w:val="none" w:sz="0" w:space="0" w:color="auto"/>
        <w:right w:val="none" w:sz="0" w:space="0" w:color="auto"/>
      </w:divBdr>
    </w:div>
    <w:div w:id="1129392671">
      <w:bodyDiv w:val="1"/>
      <w:marLeft w:val="0"/>
      <w:marRight w:val="0"/>
      <w:marTop w:val="0"/>
      <w:marBottom w:val="0"/>
      <w:divBdr>
        <w:top w:val="none" w:sz="0" w:space="0" w:color="auto"/>
        <w:left w:val="none" w:sz="0" w:space="0" w:color="auto"/>
        <w:bottom w:val="none" w:sz="0" w:space="0" w:color="auto"/>
        <w:right w:val="none" w:sz="0" w:space="0" w:color="auto"/>
      </w:divBdr>
    </w:div>
    <w:div w:id="1181969755">
      <w:bodyDiv w:val="1"/>
      <w:marLeft w:val="0"/>
      <w:marRight w:val="0"/>
      <w:marTop w:val="0"/>
      <w:marBottom w:val="0"/>
      <w:divBdr>
        <w:top w:val="none" w:sz="0" w:space="0" w:color="auto"/>
        <w:left w:val="none" w:sz="0" w:space="0" w:color="auto"/>
        <w:bottom w:val="none" w:sz="0" w:space="0" w:color="auto"/>
        <w:right w:val="none" w:sz="0" w:space="0" w:color="auto"/>
      </w:divBdr>
    </w:div>
    <w:div w:id="1211259339">
      <w:bodyDiv w:val="1"/>
      <w:marLeft w:val="0"/>
      <w:marRight w:val="0"/>
      <w:marTop w:val="0"/>
      <w:marBottom w:val="0"/>
      <w:divBdr>
        <w:top w:val="none" w:sz="0" w:space="0" w:color="auto"/>
        <w:left w:val="none" w:sz="0" w:space="0" w:color="auto"/>
        <w:bottom w:val="none" w:sz="0" w:space="0" w:color="auto"/>
        <w:right w:val="none" w:sz="0" w:space="0" w:color="auto"/>
      </w:divBdr>
    </w:div>
    <w:div w:id="1225340225">
      <w:bodyDiv w:val="1"/>
      <w:marLeft w:val="0"/>
      <w:marRight w:val="0"/>
      <w:marTop w:val="0"/>
      <w:marBottom w:val="0"/>
      <w:divBdr>
        <w:top w:val="none" w:sz="0" w:space="0" w:color="auto"/>
        <w:left w:val="none" w:sz="0" w:space="0" w:color="auto"/>
        <w:bottom w:val="none" w:sz="0" w:space="0" w:color="auto"/>
        <w:right w:val="none" w:sz="0" w:space="0" w:color="auto"/>
      </w:divBdr>
    </w:div>
    <w:div w:id="1226985947">
      <w:bodyDiv w:val="1"/>
      <w:marLeft w:val="0"/>
      <w:marRight w:val="0"/>
      <w:marTop w:val="0"/>
      <w:marBottom w:val="0"/>
      <w:divBdr>
        <w:top w:val="none" w:sz="0" w:space="0" w:color="auto"/>
        <w:left w:val="none" w:sz="0" w:space="0" w:color="auto"/>
        <w:bottom w:val="none" w:sz="0" w:space="0" w:color="auto"/>
        <w:right w:val="none" w:sz="0" w:space="0" w:color="auto"/>
      </w:divBdr>
    </w:div>
    <w:div w:id="1261522880">
      <w:bodyDiv w:val="1"/>
      <w:marLeft w:val="0"/>
      <w:marRight w:val="0"/>
      <w:marTop w:val="0"/>
      <w:marBottom w:val="0"/>
      <w:divBdr>
        <w:top w:val="none" w:sz="0" w:space="0" w:color="auto"/>
        <w:left w:val="none" w:sz="0" w:space="0" w:color="auto"/>
        <w:bottom w:val="none" w:sz="0" w:space="0" w:color="auto"/>
        <w:right w:val="none" w:sz="0" w:space="0" w:color="auto"/>
      </w:divBdr>
    </w:div>
    <w:div w:id="1267034341">
      <w:bodyDiv w:val="1"/>
      <w:marLeft w:val="0"/>
      <w:marRight w:val="0"/>
      <w:marTop w:val="0"/>
      <w:marBottom w:val="0"/>
      <w:divBdr>
        <w:top w:val="none" w:sz="0" w:space="0" w:color="auto"/>
        <w:left w:val="none" w:sz="0" w:space="0" w:color="auto"/>
        <w:bottom w:val="none" w:sz="0" w:space="0" w:color="auto"/>
        <w:right w:val="none" w:sz="0" w:space="0" w:color="auto"/>
      </w:divBdr>
    </w:div>
    <w:div w:id="1281647093">
      <w:bodyDiv w:val="1"/>
      <w:marLeft w:val="0"/>
      <w:marRight w:val="0"/>
      <w:marTop w:val="0"/>
      <w:marBottom w:val="0"/>
      <w:divBdr>
        <w:top w:val="none" w:sz="0" w:space="0" w:color="auto"/>
        <w:left w:val="none" w:sz="0" w:space="0" w:color="auto"/>
        <w:bottom w:val="none" w:sz="0" w:space="0" w:color="auto"/>
        <w:right w:val="none" w:sz="0" w:space="0" w:color="auto"/>
      </w:divBdr>
    </w:div>
    <w:div w:id="1339044452">
      <w:bodyDiv w:val="1"/>
      <w:marLeft w:val="0"/>
      <w:marRight w:val="0"/>
      <w:marTop w:val="0"/>
      <w:marBottom w:val="0"/>
      <w:divBdr>
        <w:top w:val="none" w:sz="0" w:space="0" w:color="auto"/>
        <w:left w:val="none" w:sz="0" w:space="0" w:color="auto"/>
        <w:bottom w:val="none" w:sz="0" w:space="0" w:color="auto"/>
        <w:right w:val="none" w:sz="0" w:space="0" w:color="auto"/>
      </w:divBdr>
    </w:div>
    <w:div w:id="1344361161">
      <w:bodyDiv w:val="1"/>
      <w:marLeft w:val="0"/>
      <w:marRight w:val="0"/>
      <w:marTop w:val="0"/>
      <w:marBottom w:val="0"/>
      <w:divBdr>
        <w:top w:val="none" w:sz="0" w:space="0" w:color="auto"/>
        <w:left w:val="none" w:sz="0" w:space="0" w:color="auto"/>
        <w:bottom w:val="none" w:sz="0" w:space="0" w:color="auto"/>
        <w:right w:val="none" w:sz="0" w:space="0" w:color="auto"/>
      </w:divBdr>
    </w:div>
    <w:div w:id="1381397634">
      <w:bodyDiv w:val="1"/>
      <w:marLeft w:val="0"/>
      <w:marRight w:val="0"/>
      <w:marTop w:val="0"/>
      <w:marBottom w:val="0"/>
      <w:divBdr>
        <w:top w:val="none" w:sz="0" w:space="0" w:color="auto"/>
        <w:left w:val="none" w:sz="0" w:space="0" w:color="auto"/>
        <w:bottom w:val="none" w:sz="0" w:space="0" w:color="auto"/>
        <w:right w:val="none" w:sz="0" w:space="0" w:color="auto"/>
      </w:divBdr>
    </w:div>
    <w:div w:id="1504584876">
      <w:bodyDiv w:val="1"/>
      <w:marLeft w:val="0"/>
      <w:marRight w:val="0"/>
      <w:marTop w:val="0"/>
      <w:marBottom w:val="0"/>
      <w:divBdr>
        <w:top w:val="none" w:sz="0" w:space="0" w:color="auto"/>
        <w:left w:val="none" w:sz="0" w:space="0" w:color="auto"/>
        <w:bottom w:val="none" w:sz="0" w:space="0" w:color="auto"/>
        <w:right w:val="none" w:sz="0" w:space="0" w:color="auto"/>
      </w:divBdr>
    </w:div>
    <w:div w:id="1563253198">
      <w:bodyDiv w:val="1"/>
      <w:marLeft w:val="0"/>
      <w:marRight w:val="0"/>
      <w:marTop w:val="0"/>
      <w:marBottom w:val="0"/>
      <w:divBdr>
        <w:top w:val="none" w:sz="0" w:space="0" w:color="auto"/>
        <w:left w:val="none" w:sz="0" w:space="0" w:color="auto"/>
        <w:bottom w:val="none" w:sz="0" w:space="0" w:color="auto"/>
        <w:right w:val="none" w:sz="0" w:space="0" w:color="auto"/>
      </w:divBdr>
    </w:div>
    <w:div w:id="1567454892">
      <w:bodyDiv w:val="1"/>
      <w:marLeft w:val="0"/>
      <w:marRight w:val="0"/>
      <w:marTop w:val="0"/>
      <w:marBottom w:val="0"/>
      <w:divBdr>
        <w:top w:val="none" w:sz="0" w:space="0" w:color="auto"/>
        <w:left w:val="none" w:sz="0" w:space="0" w:color="auto"/>
        <w:bottom w:val="none" w:sz="0" w:space="0" w:color="auto"/>
        <w:right w:val="none" w:sz="0" w:space="0" w:color="auto"/>
      </w:divBdr>
    </w:div>
    <w:div w:id="1595554576">
      <w:bodyDiv w:val="1"/>
      <w:marLeft w:val="0"/>
      <w:marRight w:val="0"/>
      <w:marTop w:val="0"/>
      <w:marBottom w:val="0"/>
      <w:divBdr>
        <w:top w:val="none" w:sz="0" w:space="0" w:color="auto"/>
        <w:left w:val="none" w:sz="0" w:space="0" w:color="auto"/>
        <w:bottom w:val="none" w:sz="0" w:space="0" w:color="auto"/>
        <w:right w:val="none" w:sz="0" w:space="0" w:color="auto"/>
      </w:divBdr>
    </w:div>
    <w:div w:id="1681809999">
      <w:bodyDiv w:val="1"/>
      <w:marLeft w:val="0"/>
      <w:marRight w:val="0"/>
      <w:marTop w:val="0"/>
      <w:marBottom w:val="0"/>
      <w:divBdr>
        <w:top w:val="none" w:sz="0" w:space="0" w:color="auto"/>
        <w:left w:val="none" w:sz="0" w:space="0" w:color="auto"/>
        <w:bottom w:val="none" w:sz="0" w:space="0" w:color="auto"/>
        <w:right w:val="none" w:sz="0" w:space="0" w:color="auto"/>
      </w:divBdr>
    </w:div>
    <w:div w:id="1683967606">
      <w:bodyDiv w:val="1"/>
      <w:marLeft w:val="0"/>
      <w:marRight w:val="0"/>
      <w:marTop w:val="0"/>
      <w:marBottom w:val="0"/>
      <w:divBdr>
        <w:top w:val="none" w:sz="0" w:space="0" w:color="auto"/>
        <w:left w:val="none" w:sz="0" w:space="0" w:color="auto"/>
        <w:bottom w:val="none" w:sz="0" w:space="0" w:color="auto"/>
        <w:right w:val="none" w:sz="0" w:space="0" w:color="auto"/>
      </w:divBdr>
    </w:div>
    <w:div w:id="1918325459">
      <w:bodyDiv w:val="1"/>
      <w:marLeft w:val="0"/>
      <w:marRight w:val="0"/>
      <w:marTop w:val="0"/>
      <w:marBottom w:val="0"/>
      <w:divBdr>
        <w:top w:val="none" w:sz="0" w:space="0" w:color="auto"/>
        <w:left w:val="none" w:sz="0" w:space="0" w:color="auto"/>
        <w:bottom w:val="none" w:sz="0" w:space="0" w:color="auto"/>
        <w:right w:val="none" w:sz="0" w:space="0" w:color="auto"/>
      </w:divBdr>
    </w:div>
    <w:div w:id="1944072130">
      <w:bodyDiv w:val="1"/>
      <w:marLeft w:val="0"/>
      <w:marRight w:val="0"/>
      <w:marTop w:val="0"/>
      <w:marBottom w:val="0"/>
      <w:divBdr>
        <w:top w:val="none" w:sz="0" w:space="0" w:color="auto"/>
        <w:left w:val="none" w:sz="0" w:space="0" w:color="auto"/>
        <w:bottom w:val="none" w:sz="0" w:space="0" w:color="auto"/>
        <w:right w:val="none" w:sz="0" w:space="0" w:color="auto"/>
      </w:divBdr>
    </w:div>
    <w:div w:id="1944261840">
      <w:bodyDiv w:val="1"/>
      <w:marLeft w:val="0"/>
      <w:marRight w:val="0"/>
      <w:marTop w:val="0"/>
      <w:marBottom w:val="0"/>
      <w:divBdr>
        <w:top w:val="none" w:sz="0" w:space="0" w:color="auto"/>
        <w:left w:val="none" w:sz="0" w:space="0" w:color="auto"/>
        <w:bottom w:val="none" w:sz="0" w:space="0" w:color="auto"/>
        <w:right w:val="none" w:sz="0" w:space="0" w:color="auto"/>
      </w:divBdr>
    </w:div>
    <w:div w:id="1949846566">
      <w:bodyDiv w:val="1"/>
      <w:marLeft w:val="0"/>
      <w:marRight w:val="0"/>
      <w:marTop w:val="0"/>
      <w:marBottom w:val="0"/>
      <w:divBdr>
        <w:top w:val="none" w:sz="0" w:space="0" w:color="auto"/>
        <w:left w:val="none" w:sz="0" w:space="0" w:color="auto"/>
        <w:bottom w:val="none" w:sz="0" w:space="0" w:color="auto"/>
        <w:right w:val="none" w:sz="0" w:space="0" w:color="auto"/>
      </w:divBdr>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
    <w:div w:id="2036272097">
      <w:bodyDiv w:val="1"/>
      <w:marLeft w:val="0"/>
      <w:marRight w:val="0"/>
      <w:marTop w:val="0"/>
      <w:marBottom w:val="0"/>
      <w:divBdr>
        <w:top w:val="none" w:sz="0" w:space="0" w:color="auto"/>
        <w:left w:val="none" w:sz="0" w:space="0" w:color="auto"/>
        <w:bottom w:val="none" w:sz="0" w:space="0" w:color="auto"/>
        <w:right w:val="none" w:sz="0" w:space="0" w:color="auto"/>
      </w:divBdr>
    </w:div>
    <w:div w:id="2046320918">
      <w:bodyDiv w:val="1"/>
      <w:marLeft w:val="0"/>
      <w:marRight w:val="0"/>
      <w:marTop w:val="0"/>
      <w:marBottom w:val="0"/>
      <w:divBdr>
        <w:top w:val="none" w:sz="0" w:space="0" w:color="auto"/>
        <w:left w:val="none" w:sz="0" w:space="0" w:color="auto"/>
        <w:bottom w:val="none" w:sz="0" w:space="0" w:color="auto"/>
        <w:right w:val="none" w:sz="0" w:space="0" w:color="auto"/>
      </w:divBdr>
    </w:div>
    <w:div w:id="2049447065">
      <w:bodyDiv w:val="1"/>
      <w:marLeft w:val="0"/>
      <w:marRight w:val="0"/>
      <w:marTop w:val="0"/>
      <w:marBottom w:val="0"/>
      <w:divBdr>
        <w:top w:val="none" w:sz="0" w:space="0" w:color="auto"/>
        <w:left w:val="none" w:sz="0" w:space="0" w:color="auto"/>
        <w:bottom w:val="none" w:sz="0" w:space="0" w:color="auto"/>
        <w:right w:val="none" w:sz="0" w:space="0" w:color="auto"/>
      </w:divBdr>
    </w:div>
    <w:div w:id="2052801417">
      <w:bodyDiv w:val="1"/>
      <w:marLeft w:val="0"/>
      <w:marRight w:val="0"/>
      <w:marTop w:val="0"/>
      <w:marBottom w:val="0"/>
      <w:divBdr>
        <w:top w:val="none" w:sz="0" w:space="0" w:color="auto"/>
        <w:left w:val="none" w:sz="0" w:space="0" w:color="auto"/>
        <w:bottom w:val="none" w:sz="0" w:space="0" w:color="auto"/>
        <w:right w:val="none" w:sz="0" w:space="0" w:color="auto"/>
      </w:divBdr>
    </w:div>
    <w:div w:id="2088990383">
      <w:bodyDiv w:val="1"/>
      <w:marLeft w:val="0"/>
      <w:marRight w:val="0"/>
      <w:marTop w:val="0"/>
      <w:marBottom w:val="0"/>
      <w:divBdr>
        <w:top w:val="none" w:sz="0" w:space="0" w:color="auto"/>
        <w:left w:val="none" w:sz="0" w:space="0" w:color="auto"/>
        <w:bottom w:val="none" w:sz="0" w:space="0" w:color="auto"/>
        <w:right w:val="none" w:sz="0" w:space="0" w:color="auto"/>
      </w:divBdr>
    </w:div>
    <w:div w:id="20931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0" Type="http://schemas.openxmlformats.org/officeDocument/2006/relationships/oleObject" Target="embeddings/Hoja_de_c_lculo_de_Microsoft_Excel_97-20031.xls"/><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8E3EE-9289-49D8-8D0E-B4194467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6972</Words>
  <Characters>38292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figarosy1</cp:lastModifiedBy>
  <cp:revision>5</cp:revision>
  <cp:lastPrinted>2021-07-15T01:50:00Z</cp:lastPrinted>
  <dcterms:created xsi:type="dcterms:W3CDTF">2022-04-12T20:45:00Z</dcterms:created>
  <dcterms:modified xsi:type="dcterms:W3CDTF">2022-04-27T19:03:00Z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-278733015</vt:i4>
  </property>
</Properties>
</file>